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6272FF">
      <w:pPr>
        <w:pStyle w:val="a1"/>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00336F59" w:rsidRPr="0004538C">
        <w:t xml:space="preserve">WG4 Meeting </w:t>
      </w:r>
      <w:r w:rsidR="00336F59" w:rsidRPr="00FA639F">
        <w:t>#</w:t>
      </w:r>
      <w:r w:rsidR="00336F59" w:rsidRPr="007C4C4E">
        <w:t>10</w:t>
      </w:r>
      <w:r w:rsidR="00336F59">
        <w:t>8</w:t>
      </w:r>
      <w:r w:rsidR="007145F3">
        <w:rPr>
          <w:rFonts w:eastAsia="宋体"/>
          <w:lang w:eastAsia="zh-CN"/>
        </w:rPr>
        <w:t xml:space="preserve">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3C4E5D">
        <w:rPr>
          <w:rFonts w:eastAsia="宋体"/>
          <w:lang w:eastAsia="zh-CN"/>
        </w:rPr>
        <w:t xml:space="preserve">      </w:t>
      </w:r>
      <w:r w:rsidR="00EC6F92" w:rsidRPr="00EC6F92">
        <w:rPr>
          <w:rFonts w:eastAsia="宋体"/>
          <w:lang w:eastAsia="zh-CN"/>
        </w:rPr>
        <w:t>R4-2312258</w:t>
      </w:r>
    </w:p>
    <w:p w:rsidR="00675C27" w:rsidRPr="00444A16" w:rsidRDefault="00336F59" w:rsidP="006272FF">
      <w:pPr>
        <w:pStyle w:val="a1"/>
        <w:jc w:val="both"/>
        <w:rPr>
          <w:rFonts w:eastAsia="宋体"/>
          <w:lang w:eastAsia="zh-CN"/>
        </w:rPr>
      </w:pPr>
      <w:r w:rsidRPr="00336F59">
        <w:rPr>
          <w:rFonts w:eastAsia="宋体"/>
          <w:lang w:eastAsia="zh-CN"/>
        </w:rPr>
        <w:t>Toulouse, France, Aug 21 – 25, 2023</w:t>
      </w:r>
    </w:p>
    <w:p w:rsidR="00F71A33" w:rsidRPr="00F71A33" w:rsidRDefault="00F71A33" w:rsidP="006272FF">
      <w:pPr>
        <w:pStyle w:val="a1"/>
        <w:jc w:val="both"/>
        <w:rPr>
          <w:rFonts w:eastAsia="宋体"/>
          <w:lang w:eastAsia="zh-CN"/>
        </w:rPr>
      </w:pPr>
    </w:p>
    <w:p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2175" w:rsidRPr="00E82175">
        <w:rPr>
          <w:rFonts w:ascii="Arial" w:hAnsi="Arial" w:cs="Arial"/>
          <w:sz w:val="22"/>
        </w:rPr>
        <w:t>Further consideration on impact of SRS antenna switching for TDD-FDD band combinations</w:t>
      </w:r>
    </w:p>
    <w:p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82175">
        <w:rPr>
          <w:rFonts w:ascii="Arial" w:hAnsi="Arial" w:cs="Arial"/>
          <w:sz w:val="22"/>
        </w:rPr>
        <w:t>10.3.4</w:t>
      </w:r>
    </w:p>
    <w:p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E82175">
        <w:rPr>
          <w:rFonts w:ascii="Arial" w:hAnsi="Arial" w:cs="Arial"/>
          <w:sz w:val="22"/>
        </w:rPr>
        <w:t>Approval</w:t>
      </w:r>
    </w:p>
    <w:bookmarkEnd w:id="0"/>
    <w:bookmarkEnd w:id="1"/>
    <w:p w:rsidR="00AD4188" w:rsidRDefault="00062E8E" w:rsidP="006272FF">
      <w:pPr>
        <w:pStyle w:val="Heading1"/>
        <w:spacing w:after="240"/>
        <w:jc w:val="both"/>
        <w:rPr>
          <w:rFonts w:eastAsia="宋体"/>
          <w:lang w:eastAsia="zh-CN"/>
        </w:rPr>
      </w:pPr>
      <w:r>
        <w:rPr>
          <w:rFonts w:eastAsia="宋体" w:hint="eastAsia"/>
          <w:lang w:eastAsia="zh-CN"/>
        </w:rPr>
        <w:t>Introduction</w:t>
      </w:r>
    </w:p>
    <w:p w:rsidR="009A089A" w:rsidRDefault="00B42254" w:rsidP="006272FF">
      <w:pPr>
        <w:jc w:val="both"/>
      </w:pPr>
      <w:r>
        <w:rPr>
          <w:lang w:eastAsia="ja-JP"/>
        </w:rPr>
        <w:t>I</w:t>
      </w:r>
      <w:r w:rsidRPr="001765E9">
        <w:rPr>
          <w:lang w:eastAsia="ja-JP"/>
        </w:rPr>
        <w:t>mpact of SRS antenna switching for</w:t>
      </w:r>
      <w:r>
        <w:rPr>
          <w:lang w:eastAsia="ja-JP"/>
        </w:rPr>
        <w:t xml:space="preserve"> NR</w:t>
      </w:r>
      <w:r w:rsidRPr="001765E9">
        <w:rPr>
          <w:lang w:eastAsia="ja-JP"/>
        </w:rPr>
        <w:t xml:space="preserve"> TDD-FDD band combinations</w:t>
      </w:r>
      <w:r>
        <w:t xml:space="preserve"> was initially discussed in [1], and </w:t>
      </w:r>
      <w:proofErr w:type="gramStart"/>
      <w:r>
        <w:t>an</w:t>
      </w:r>
      <w:proofErr w:type="gramEnd"/>
      <w:r>
        <w:t xml:space="preserve"> LS was sent to RAN1 for clarification of the impact in [2].</w:t>
      </w:r>
    </w:p>
    <w:p w:rsidR="00B42254" w:rsidRPr="00E01EB3" w:rsidRDefault="00B42254" w:rsidP="006272FF">
      <w:pPr>
        <w:jc w:val="both"/>
        <w:rPr>
          <w:lang w:val="en-US"/>
        </w:rPr>
      </w:pPr>
      <w:r>
        <w:t xml:space="preserve">Based on the latest discussion in RAN1, it was concluded for the DL part, i.e. the signalling report relevant to </w:t>
      </w:r>
      <w:proofErr w:type="spellStart"/>
      <w:r w:rsidRPr="00E01EB3">
        <w:rPr>
          <w:i/>
          <w:lang w:val="en-US"/>
        </w:rPr>
        <w:t>txSwitchImpactToRx</w:t>
      </w:r>
      <w:proofErr w:type="spellEnd"/>
      <w:r w:rsidRPr="00E01EB3">
        <w:rPr>
          <w:lang w:val="en-US"/>
        </w:rPr>
        <w:t>. The conclusion is “</w:t>
      </w:r>
      <w:r w:rsidRPr="00E01EB3">
        <w:rPr>
          <w:i/>
          <w:lang w:val="en-US"/>
        </w:rPr>
        <w:t xml:space="preserve">UE follows requirements specified in 38.133 for DL receiving on bands reported by </w:t>
      </w:r>
      <w:proofErr w:type="spellStart"/>
      <w:r w:rsidRPr="00E01EB3">
        <w:rPr>
          <w:i/>
          <w:lang w:val="en-US"/>
        </w:rPr>
        <w:t>txSwitchImpactToRx</w:t>
      </w:r>
      <w:proofErr w:type="spellEnd"/>
      <w:r w:rsidRPr="00E01EB3">
        <w:rPr>
          <w:lang w:val="en-US"/>
        </w:rPr>
        <w:t>.” However, from the scheduling restriction perspective, the granularity is too coarse to following the DL interruption requirements specified in TS 38.133.</w:t>
      </w:r>
    </w:p>
    <w:p w:rsidR="00B42254" w:rsidRPr="00B42254" w:rsidRDefault="00B42254" w:rsidP="006272FF">
      <w:pPr>
        <w:jc w:val="both"/>
      </w:pPr>
      <w:r>
        <w:rPr>
          <w:rFonts w:hint="eastAsia"/>
        </w:rPr>
        <w:t>T</w:t>
      </w:r>
      <w:r>
        <w:t>his contribution provides further consideration on the SRS antenna switching impact for the DL band.</w:t>
      </w:r>
    </w:p>
    <w:p w:rsidR="00062E8E" w:rsidRDefault="00062E8E" w:rsidP="006272FF">
      <w:pPr>
        <w:pStyle w:val="Heading1"/>
        <w:spacing w:after="240"/>
        <w:jc w:val="both"/>
        <w:rPr>
          <w:rFonts w:eastAsia="宋体"/>
          <w:lang w:eastAsia="zh-CN"/>
        </w:rPr>
      </w:pPr>
      <w:r>
        <w:rPr>
          <w:rFonts w:eastAsia="宋体" w:hint="eastAsia"/>
          <w:lang w:eastAsia="zh-CN"/>
        </w:rPr>
        <w:t>Discussion</w:t>
      </w:r>
    </w:p>
    <w:p w:rsidR="005369EE" w:rsidRDefault="00A57F61" w:rsidP="006272FF">
      <w:pPr>
        <w:jc w:val="both"/>
        <w:rPr>
          <w:lang w:val="en-US"/>
        </w:rPr>
      </w:pPr>
      <w:r>
        <w:rPr>
          <w:rFonts w:hint="eastAsia"/>
          <w:lang w:val="en-US"/>
        </w:rPr>
        <w:t>T</w:t>
      </w:r>
      <w:r>
        <w:rPr>
          <w:lang w:val="en-US"/>
        </w:rPr>
        <w:t xml:space="preserve">he aforementioned RRM requirements in the RAN1 conclusion are reproduced as below for reference. </w:t>
      </w:r>
    </w:p>
    <w:tbl>
      <w:tblPr>
        <w:tblStyle w:val="TableGrid"/>
        <w:tblW w:w="0" w:type="auto"/>
        <w:tblLook w:val="04A0" w:firstRow="1" w:lastRow="0" w:firstColumn="1" w:lastColumn="0" w:noHBand="0" w:noVBand="1"/>
      </w:tblPr>
      <w:tblGrid>
        <w:gridCol w:w="9631"/>
      </w:tblGrid>
      <w:tr w:rsidR="00BE06F3" w:rsidTr="00BE06F3">
        <w:tc>
          <w:tcPr>
            <w:tcW w:w="9631" w:type="dxa"/>
          </w:tcPr>
          <w:p w:rsidR="00BE06F3" w:rsidRPr="000347D3" w:rsidRDefault="00BE06F3" w:rsidP="00BE06F3">
            <w:pPr>
              <w:pStyle w:val="Heading5"/>
              <w:outlineLvl w:val="4"/>
            </w:pPr>
            <w:r w:rsidRPr="000347D3">
              <w:t>8.2.</w:t>
            </w:r>
            <w:r>
              <w:t>2</w:t>
            </w:r>
            <w:r w:rsidRPr="000347D3">
              <w:t>.2.</w:t>
            </w:r>
            <w:r>
              <w:t>16</w:t>
            </w:r>
            <w:r w:rsidRPr="000347D3">
              <w:tab/>
              <w:t xml:space="preserve">Interruptions at NR SRS </w:t>
            </w:r>
            <w:r>
              <w:t xml:space="preserve">antenna port </w:t>
            </w:r>
            <w:r w:rsidRPr="000347D3">
              <w:t>switching</w:t>
            </w:r>
          </w:p>
          <w:p w:rsidR="00BE06F3" w:rsidRDefault="00BE06F3" w:rsidP="00BE06F3">
            <w:r>
              <w:t xml:space="preserve">The requirements in this clause are applicable to SRS antenna port switching on FR1 and SRS resource(s) is only configured within the last 6 symbols of a slot. </w:t>
            </w:r>
            <w:r w:rsidRPr="006A0479">
              <w:t xml:space="preserve">For interruption caused by SRS antenna port switching, the victim cell is based on the entry number of the band indicated by </w:t>
            </w:r>
            <w:proofErr w:type="spellStart"/>
            <w:r w:rsidRPr="00094E3E">
              <w:rPr>
                <w:i/>
                <w:iCs/>
              </w:rPr>
              <w:t>txSwitchImpactToRx</w:t>
            </w:r>
            <w:proofErr w:type="spellEnd"/>
            <w:r w:rsidRPr="006A0479">
              <w:t xml:space="preserve"> and/or </w:t>
            </w:r>
            <w:proofErr w:type="spellStart"/>
            <w:r w:rsidRPr="00094E3E">
              <w:rPr>
                <w:i/>
                <w:iCs/>
              </w:rPr>
              <w:t>txSwitchWithAnotherBand</w:t>
            </w:r>
            <w:proofErr w:type="spellEnd"/>
            <w:r w:rsidRPr="006A0479">
              <w:t xml:space="preserve"> regardless of per-FR MG capability. An UL interruption is allowed on any of the serving cells as indicated in </w:t>
            </w:r>
            <w:proofErr w:type="spellStart"/>
            <w:r w:rsidRPr="00094E3E">
              <w:rPr>
                <w:i/>
                <w:iCs/>
              </w:rPr>
              <w:t>txSwitchWithAnotherBand</w:t>
            </w:r>
            <w:proofErr w:type="spellEnd"/>
            <w:r w:rsidRPr="006A0479">
              <w:t xml:space="preserve">, and a DL interruption is allowed on any of the serving cells as indicated </w:t>
            </w:r>
            <w:r>
              <w:t>in</w:t>
            </w:r>
            <w:r w:rsidRPr="006A0479">
              <w:t xml:space="preserve"> </w:t>
            </w:r>
            <w:proofErr w:type="spellStart"/>
            <w:r w:rsidRPr="00094E3E">
              <w:rPr>
                <w:i/>
                <w:iCs/>
              </w:rPr>
              <w:t>txSwitchImpactToRx</w:t>
            </w:r>
            <w:proofErr w:type="spellEnd"/>
            <w:r w:rsidRPr="00094E3E">
              <w:t>.</w:t>
            </w:r>
          </w:p>
          <w:p w:rsidR="00BE06F3" w:rsidRPr="00D26657" w:rsidRDefault="00BE06F3" w:rsidP="00BE06F3">
            <w:pPr>
              <w:overflowPunct/>
              <w:autoSpaceDE/>
              <w:autoSpaceDN/>
              <w:adjustRightInd/>
              <w:textAlignment w:val="auto"/>
              <w:rPr>
                <w:rFonts w:eastAsia="Malgun Gothic"/>
                <w:lang w:eastAsia="en-US"/>
              </w:rPr>
            </w:pPr>
            <w:r w:rsidRPr="00D26657">
              <w:rPr>
                <w:rFonts w:eastAsia="Malgun Gothic"/>
                <w:lang w:eastAsia="en-US"/>
              </w:rPr>
              <w:t xml:space="preserve">The UE shall perform SRS antenna port switching only if the below conditions are met. </w:t>
            </w:r>
          </w:p>
          <w:p w:rsidR="00BE06F3" w:rsidRPr="008A7648" w:rsidRDefault="00BE06F3" w:rsidP="00BE06F3">
            <w:pPr>
              <w:overflowPunct/>
              <w:autoSpaceDE/>
              <w:autoSpaceDN/>
              <w:adjustRightInd/>
              <w:ind w:left="568" w:hanging="284"/>
              <w:textAlignment w:val="auto"/>
              <w:rPr>
                <w:rFonts w:eastAsia="Malgun Gothic"/>
                <w:lang w:eastAsia="en-US"/>
              </w:rPr>
            </w:pPr>
            <w:r w:rsidRPr="00D26657">
              <w:rPr>
                <w:rFonts w:eastAsia="Malgun Gothic"/>
                <w:lang w:eastAsia="en-US"/>
              </w:rPr>
              <w:t>-</w:t>
            </w:r>
            <w:r w:rsidRPr="00D26657">
              <w:rPr>
                <w:rFonts w:eastAsia="Malgun Gothic"/>
                <w:lang w:eastAsia="en-US"/>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lang w:eastAsia="en-US"/>
              </w:rPr>
              <w:t xml:space="preserve">a victim cell based on </w:t>
            </w:r>
            <w:proofErr w:type="spellStart"/>
            <w:r w:rsidRPr="008A7648">
              <w:rPr>
                <w:rFonts w:eastAsia="Malgun Gothic"/>
                <w:i/>
                <w:iCs/>
                <w:lang w:eastAsia="en-US"/>
              </w:rPr>
              <w:t>txSwitchWithAnotherBand</w:t>
            </w:r>
            <w:proofErr w:type="spellEnd"/>
            <w:r w:rsidRPr="008A7648">
              <w:rPr>
                <w:rFonts w:eastAsia="Malgun Gothic"/>
                <w:i/>
                <w:iCs/>
                <w:lang w:eastAsia="en-US"/>
              </w:rPr>
              <w:t xml:space="preserve"> </w:t>
            </w:r>
            <w:r w:rsidRPr="008A7648">
              <w:rPr>
                <w:rFonts w:eastAsia="Malgun Gothic"/>
                <w:lang w:eastAsia="en-US"/>
              </w:rPr>
              <w:t>or is the same carrier on which SRS is transmitted.</w:t>
            </w:r>
          </w:p>
          <w:p w:rsidR="00BE06F3" w:rsidRPr="008A7648" w:rsidRDefault="00BE06F3" w:rsidP="00BE06F3">
            <w:pPr>
              <w:overflowPunct/>
              <w:autoSpaceDE/>
              <w:autoSpaceDN/>
              <w:adjustRightInd/>
              <w:ind w:left="568" w:hanging="284"/>
              <w:textAlignment w:val="auto"/>
              <w:rPr>
                <w:rFonts w:eastAsia="Malgun Gothic"/>
                <w:lang w:eastAsia="en-US"/>
              </w:rPr>
            </w:pPr>
            <w:r w:rsidRPr="008A7648">
              <w:rPr>
                <w:rFonts w:eastAsia="Malgun Gothic"/>
                <w:lang w:eastAsia="en-US"/>
              </w:rPr>
              <w:t>-</w:t>
            </w:r>
            <w:r w:rsidRPr="008A7648">
              <w:rPr>
                <w:rFonts w:eastAsia="Malgun Gothic"/>
                <w:lang w:eastAsia="en-US"/>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rPr>
              <w:t xml:space="preserve"> </w:t>
            </w:r>
            <w:proofErr w:type="spellStart"/>
            <w:r w:rsidRPr="008A7648">
              <w:rPr>
                <w:i/>
                <w:iCs/>
                <w:lang w:eastAsia="en-US"/>
              </w:rPr>
              <w:t>txSwitchImpactToRx</w:t>
            </w:r>
            <w:proofErr w:type="spellEnd"/>
            <w:r w:rsidRPr="008A7648">
              <w:rPr>
                <w:i/>
                <w:iCs/>
                <w:lang w:eastAsia="en-US"/>
              </w:rPr>
              <w:t xml:space="preserve"> </w:t>
            </w:r>
            <w:r w:rsidRPr="008A7648">
              <w:rPr>
                <w:rFonts w:eastAsia="Malgun Gothic"/>
                <w:lang w:eastAsia="en-US"/>
              </w:rPr>
              <w:t xml:space="preserve">or is the same carrier on which SRS is transmitted.  </w:t>
            </w:r>
          </w:p>
          <w:p w:rsidR="00BE06F3" w:rsidRPr="00D26657" w:rsidRDefault="00BE06F3" w:rsidP="00BE06F3">
            <w:pPr>
              <w:rPr>
                <w:rFonts w:eastAsia="Malgun Gothic"/>
              </w:rPr>
            </w:pPr>
            <w:r w:rsidRPr="008A7648">
              <w:rPr>
                <w:rFonts w:eastAsia="Malgun Gothic"/>
              </w:rPr>
              <w:t xml:space="preserve">No requirements </w:t>
            </w:r>
            <w:r w:rsidRPr="00D26657">
              <w:rPr>
                <w:rFonts w:eastAsia="Malgun Gothic" w:hint="eastAsia"/>
                <w:lang w:eastAsia="en-US"/>
              </w:rPr>
              <w:t>are defined for SRS antenna port switching</w:t>
            </w:r>
            <w:r w:rsidRPr="008A7648">
              <w:rPr>
                <w:rFonts w:eastAsia="Malgun Gothic"/>
              </w:rPr>
              <w:t xml:space="preserve"> if</w:t>
            </w:r>
            <w:r w:rsidRPr="00D26657">
              <w:rPr>
                <w:rFonts w:eastAsia="Malgun Gothic"/>
              </w:rPr>
              <w:t xml:space="preserve"> aperiodic SRS switching is colliding with aperiodic L1-RSRP/L1-SINR measurements and the serving cell on which the aperiodic L1-RSRP/L1-SINR measurement is configured is indicated in </w:t>
            </w:r>
            <w:proofErr w:type="spellStart"/>
            <w:r w:rsidRPr="008A7648">
              <w:rPr>
                <w:rFonts w:eastAsia="Malgun Gothic"/>
                <w:i/>
                <w:iCs/>
              </w:rPr>
              <w:t>txSwitchImpactToRx</w:t>
            </w:r>
            <w:proofErr w:type="spellEnd"/>
            <w:r w:rsidRPr="00D26657">
              <w:rPr>
                <w:rFonts w:eastAsia="Malgun Gothic"/>
              </w:rPr>
              <w:t xml:space="preserve"> or is the same carrier on which aperiodic SRS is scheduled/configured.</w:t>
            </w:r>
          </w:p>
          <w:p w:rsidR="00BE06F3" w:rsidRPr="00D26657" w:rsidRDefault="00BE06F3" w:rsidP="00BE06F3">
            <w:pPr>
              <w:rPr>
                <w:rFonts w:eastAsia="Malgun Gothic"/>
              </w:rPr>
            </w:pPr>
            <w:r w:rsidRPr="00D26657">
              <w:rPr>
                <w:rFonts w:eastAsia="Malgun Gothic"/>
              </w:rPr>
              <w:t>When 1 SRS symbol is configured in a slot for SRS antenna switching and the aggressor and victim cells are synchronized, the interruption requirement in Table 8.2.2.2.16-1 applies. When 1 SRS symbol is configured in a slot for SRS antenna switching and the aggressor and victim cells are asynchronized, the interruption requirement in Table 8.2.2.2.16-2 applies. For the rest of SRS configurations, the interruption requirement in Table 8.2.2.2.16-3 applies.</w:t>
            </w:r>
          </w:p>
          <w:p w:rsidR="00BE06F3" w:rsidRPr="00DA05D6" w:rsidRDefault="00BE06F3" w:rsidP="00BE06F3">
            <w:pPr>
              <w:rPr>
                <w:lang w:eastAsia="x-none"/>
              </w:rPr>
            </w:pPr>
          </w:p>
          <w:p w:rsidR="00BE06F3" w:rsidRPr="00D26657" w:rsidRDefault="00BE06F3" w:rsidP="00BE06F3">
            <w:pPr>
              <w:keepNext/>
              <w:keepLines/>
              <w:overflowPunct/>
              <w:autoSpaceDE/>
              <w:autoSpaceDN/>
              <w:adjustRightInd/>
              <w:spacing w:before="60"/>
              <w:jc w:val="center"/>
              <w:textAlignment w:val="auto"/>
              <w:rPr>
                <w:rFonts w:ascii="Arial" w:eastAsia="Malgun Gothic" w:hAnsi="Arial"/>
                <w:b/>
                <w:lang w:eastAsia="en-US"/>
              </w:rPr>
            </w:pPr>
            <w:r w:rsidRPr="00D26657">
              <w:rPr>
                <w:rFonts w:ascii="Arial" w:eastAsia="Malgun Gothic" w:hAnsi="Arial"/>
                <w:b/>
                <w:lang w:eastAsia="en-US"/>
              </w:rPr>
              <w:t>Table 8.2.2.2.16-1:</w:t>
            </w:r>
            <w:r w:rsidRPr="001A050E">
              <w:rPr>
                <w:rFonts w:ascii="Arial" w:eastAsia="Malgun Gothic" w:hAnsi="Arial"/>
                <w:b/>
              </w:rPr>
              <w:t xml:space="preserve"> Interruption length in symbols</w:t>
            </w:r>
            <w:r w:rsidRPr="00222E99">
              <w:rPr>
                <w:rFonts w:ascii="Arial" w:eastAsia="Malgun Gothic" w:hAnsi="Arial"/>
                <w:b/>
              </w:rPr>
              <w:t xml:space="preserve"> of victim CC</w:t>
            </w:r>
            <w:r w:rsidRPr="001A050E">
              <w:rPr>
                <w:rFonts w:ascii="Arial" w:eastAsia="Malgun Gothic" w:hAnsi="Arial"/>
                <w:b/>
              </w:rPr>
              <w:t xml:space="preserve"> when 1 SRS symbol is configured</w:t>
            </w:r>
            <w:r>
              <w:rPr>
                <w:rFonts w:ascii="Arial" w:eastAsia="Malgun Gothic" w:hAnsi="Arial"/>
                <w:b/>
              </w:rPr>
              <w:t>,</w:t>
            </w:r>
            <w:r w:rsidRPr="001A050E">
              <w:rPr>
                <w:rFonts w:ascii="Arial" w:eastAsia="Malgun Gothic" w:hAnsi="Arial"/>
                <w:b/>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E06F3" w:rsidRPr="00D26657" w:rsidTr="004477F8">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Victim cell </w:t>
                  </w:r>
                  <w:proofErr w:type="gramStart"/>
                  <w:r w:rsidRPr="00D26657">
                    <w:rPr>
                      <w:rFonts w:ascii="Arial" w:eastAsia="Malgun Gothic" w:hAnsi="Arial"/>
                      <w:b/>
                      <w:sz w:val="18"/>
                      <w:lang w:eastAsia="en-US"/>
                    </w:rPr>
                    <w:t>SCS(</w:t>
                  </w:r>
                  <w:proofErr w:type="gramEnd"/>
                  <w:r w:rsidRPr="00D26657">
                    <w:rPr>
                      <w:rFonts w:ascii="Arial" w:eastAsia="Malgun Gothic" w:hAnsi="Arial"/>
                      <w:b/>
                      <w:sz w:val="18"/>
                      <w:lang w:eastAsia="en-US"/>
                    </w:rPr>
                    <w:t>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BE06F3" w:rsidRPr="00D26657" w:rsidTr="004477F8">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6F3" w:rsidRPr="00D26657" w:rsidRDefault="00BE06F3" w:rsidP="00BE06F3">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BE06F3" w:rsidRPr="00D26657" w:rsidTr="004477F8">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BE06F3" w:rsidRPr="00D26657" w:rsidTr="004477F8">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4</w:t>
                  </w:r>
                </w:p>
              </w:tc>
              <w:tc>
                <w:tcPr>
                  <w:tcW w:w="1623" w:type="dxa"/>
                  <w:tcBorders>
                    <w:top w:val="single" w:sz="4" w:space="0" w:color="auto"/>
                    <w:left w:val="single" w:sz="4" w:space="0" w:color="auto"/>
                    <w:bottom w:val="single" w:sz="4" w:space="0" w:color="auto"/>
                    <w:right w:val="single" w:sz="4" w:space="0" w:color="auto"/>
                  </w:tcBorders>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r>
            <w:tr w:rsidR="00BE06F3" w:rsidRPr="00D26657" w:rsidTr="004477F8">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8</w:t>
                  </w:r>
                </w:p>
              </w:tc>
              <w:tc>
                <w:tcPr>
                  <w:tcW w:w="1623" w:type="dxa"/>
                  <w:tcBorders>
                    <w:top w:val="single" w:sz="4" w:space="0" w:color="auto"/>
                    <w:left w:val="single" w:sz="4" w:space="0" w:color="auto"/>
                    <w:bottom w:val="single" w:sz="4" w:space="0" w:color="auto"/>
                    <w:right w:val="single" w:sz="4" w:space="0" w:color="auto"/>
                  </w:tcBorders>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w:t>
                  </w:r>
                </w:p>
              </w:tc>
              <w:tc>
                <w:tcPr>
                  <w:tcW w:w="1625" w:type="dxa"/>
                  <w:tcBorders>
                    <w:top w:val="single" w:sz="4" w:space="0" w:color="auto"/>
                    <w:left w:val="single" w:sz="4" w:space="0" w:color="auto"/>
                    <w:bottom w:val="single" w:sz="4" w:space="0" w:color="auto"/>
                    <w:right w:val="single" w:sz="4" w:space="0" w:color="auto"/>
                  </w:tcBorders>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5</w:t>
                  </w:r>
                </w:p>
              </w:tc>
            </w:tr>
            <w:tr w:rsidR="00BE06F3" w:rsidRPr="00D26657" w:rsidTr="004477F8">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14</w:t>
                  </w:r>
                </w:p>
              </w:tc>
              <w:tc>
                <w:tcPr>
                  <w:tcW w:w="1623" w:type="dxa"/>
                  <w:tcBorders>
                    <w:top w:val="single" w:sz="4" w:space="0" w:color="auto"/>
                    <w:left w:val="single" w:sz="4" w:space="0" w:color="auto"/>
                    <w:bottom w:val="single" w:sz="4" w:space="0" w:color="auto"/>
                    <w:right w:val="single" w:sz="4" w:space="0" w:color="auto"/>
                  </w:tcBorders>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10</w:t>
                  </w:r>
                </w:p>
              </w:tc>
              <w:tc>
                <w:tcPr>
                  <w:tcW w:w="1625" w:type="dxa"/>
                  <w:tcBorders>
                    <w:top w:val="single" w:sz="4" w:space="0" w:color="auto"/>
                    <w:left w:val="single" w:sz="4" w:space="0" w:color="auto"/>
                    <w:bottom w:val="single" w:sz="4" w:space="0" w:color="auto"/>
                    <w:right w:val="single" w:sz="4" w:space="0" w:color="auto"/>
                  </w:tcBorders>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8</w:t>
                  </w:r>
                </w:p>
              </w:tc>
            </w:tr>
          </w:tbl>
          <w:p w:rsidR="00BE06F3" w:rsidRPr="00D26657" w:rsidRDefault="00BE06F3" w:rsidP="00BE06F3">
            <w:pPr>
              <w:overflowPunct/>
              <w:autoSpaceDE/>
              <w:autoSpaceDN/>
              <w:adjustRightInd/>
              <w:textAlignment w:val="auto"/>
              <w:rPr>
                <w:rFonts w:eastAsia="Malgun Gothic"/>
                <w:lang w:eastAsia="x-none"/>
              </w:rPr>
            </w:pPr>
          </w:p>
          <w:p w:rsidR="00BE06F3" w:rsidRPr="00D26657" w:rsidRDefault="00BE06F3" w:rsidP="00BE06F3">
            <w:pPr>
              <w:keepNext/>
              <w:keepLines/>
              <w:overflowPunct/>
              <w:autoSpaceDE/>
              <w:autoSpaceDN/>
              <w:adjustRightInd/>
              <w:spacing w:before="60"/>
              <w:jc w:val="center"/>
              <w:textAlignment w:val="auto"/>
              <w:rPr>
                <w:rFonts w:ascii="Arial" w:eastAsia="Malgun Gothic" w:hAnsi="Arial"/>
                <w:b/>
                <w:lang w:eastAsia="en-US"/>
              </w:rPr>
            </w:pPr>
            <w:r w:rsidRPr="00D26657">
              <w:rPr>
                <w:rFonts w:ascii="Arial" w:eastAsia="Malgun Gothic" w:hAnsi="Arial"/>
                <w:b/>
                <w:lang w:eastAsia="en-US"/>
              </w:rPr>
              <w:t>Table 8.2.2.2.16.2:</w:t>
            </w:r>
            <w:r w:rsidRPr="001A050E">
              <w:rPr>
                <w:rFonts w:ascii="Arial" w:eastAsia="Malgun Gothic" w:hAnsi="Arial"/>
                <w:b/>
              </w:rPr>
              <w:t xml:space="preserve"> Interruption length in slots</w:t>
            </w:r>
            <w:r w:rsidRPr="00222E99">
              <w:rPr>
                <w:rFonts w:ascii="Arial" w:eastAsia="Malgun Gothic" w:hAnsi="Arial"/>
                <w:b/>
              </w:rPr>
              <w:t xml:space="preserve"> of victim CC</w:t>
            </w:r>
            <w:r w:rsidRPr="001A050E">
              <w:rPr>
                <w:rFonts w:ascii="Arial" w:eastAsia="Malgun Gothic" w:hAnsi="Arial"/>
                <w:b/>
              </w:rPr>
              <w:t xml:space="preserve"> when 1 SRS symbol is configured</w:t>
            </w:r>
            <w:r>
              <w:rPr>
                <w:rFonts w:ascii="Arial" w:eastAsia="Malgun Gothic" w:hAnsi="Arial"/>
                <w:b/>
              </w:rPr>
              <w:t>,</w:t>
            </w:r>
            <w:r w:rsidRPr="001A050E">
              <w:rPr>
                <w:rFonts w:ascii="Arial" w:eastAsia="Malgun Gothic" w:hAnsi="Arial"/>
                <w:b/>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E06F3" w:rsidRPr="00D26657" w:rsidTr="004477F8">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Victim cell </w:t>
                  </w:r>
                  <w:proofErr w:type="gramStart"/>
                  <w:r w:rsidRPr="00D26657">
                    <w:rPr>
                      <w:rFonts w:ascii="Arial" w:eastAsia="Malgun Gothic" w:hAnsi="Arial"/>
                      <w:b/>
                      <w:sz w:val="18"/>
                      <w:lang w:eastAsia="en-US"/>
                    </w:rPr>
                    <w:t>SCS(</w:t>
                  </w:r>
                  <w:proofErr w:type="gramEnd"/>
                  <w:r w:rsidRPr="00D26657">
                    <w:rPr>
                      <w:rFonts w:ascii="Arial" w:eastAsia="Malgun Gothic" w:hAnsi="Arial"/>
                      <w:b/>
                      <w:sz w:val="18"/>
                      <w:lang w:eastAsia="en-US"/>
                    </w:rPr>
                    <w:t>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BE06F3" w:rsidRPr="00D26657" w:rsidTr="004477F8">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6F3" w:rsidRPr="00D26657" w:rsidRDefault="00BE06F3" w:rsidP="00BE06F3">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BE06F3" w:rsidRPr="00D26657" w:rsidTr="004477F8">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BE06F3" w:rsidRPr="00D26657" w:rsidTr="004477F8">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BE06F3" w:rsidRPr="00D26657" w:rsidTr="004477F8">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BE06F3" w:rsidRPr="00D26657" w:rsidTr="004477F8">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bl>
          <w:p w:rsidR="00BE06F3" w:rsidRPr="00D26657" w:rsidRDefault="00BE06F3" w:rsidP="00BE06F3">
            <w:pPr>
              <w:overflowPunct/>
              <w:autoSpaceDE/>
              <w:autoSpaceDN/>
              <w:adjustRightInd/>
              <w:textAlignment w:val="auto"/>
              <w:rPr>
                <w:rFonts w:eastAsia="Malgun Gothic"/>
                <w:lang w:eastAsia="x-none"/>
              </w:rPr>
            </w:pPr>
          </w:p>
          <w:p w:rsidR="00BE06F3" w:rsidRPr="00D26657" w:rsidRDefault="00BE06F3" w:rsidP="00BE06F3">
            <w:pPr>
              <w:keepNext/>
              <w:keepLines/>
              <w:overflowPunct/>
              <w:autoSpaceDE/>
              <w:autoSpaceDN/>
              <w:adjustRightInd/>
              <w:spacing w:before="60"/>
              <w:jc w:val="center"/>
              <w:textAlignment w:val="auto"/>
              <w:rPr>
                <w:rFonts w:ascii="Arial" w:eastAsia="Malgun Gothic" w:hAnsi="Arial"/>
                <w:b/>
                <w:lang w:eastAsia="en-US"/>
              </w:rPr>
            </w:pPr>
            <w:r w:rsidRPr="00D26657">
              <w:rPr>
                <w:rFonts w:ascii="Arial" w:eastAsia="Malgun Gothic" w:hAnsi="Arial"/>
                <w:b/>
                <w:lang w:eastAsia="en-US"/>
              </w:rPr>
              <w:t>Table 8.2.2.2.16-3:</w:t>
            </w:r>
            <w:r w:rsidRPr="001A050E">
              <w:rPr>
                <w:rFonts w:ascii="Arial" w:eastAsia="Malgun Gothic" w:hAnsi="Arial"/>
                <w:b/>
              </w:rPr>
              <w:t xml:space="preserve"> Interruption length in slots</w:t>
            </w:r>
            <w:r w:rsidRPr="00222E99">
              <w:rPr>
                <w:rFonts w:ascii="Arial" w:eastAsia="Malgun Gothic" w:hAnsi="Arial"/>
                <w:b/>
              </w:rPr>
              <w:t xml:space="preserve"> of victim CC</w:t>
            </w:r>
            <w:r w:rsidRPr="001A050E">
              <w:rPr>
                <w:rFonts w:ascii="Arial" w:eastAsia="Malgun Gothic" w:hAnsi="Arial"/>
                <w:b/>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E06F3" w:rsidRPr="00D26657" w:rsidTr="004477F8">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Victim cell </w:t>
                  </w:r>
                  <w:proofErr w:type="gramStart"/>
                  <w:r w:rsidRPr="00D26657">
                    <w:rPr>
                      <w:rFonts w:ascii="Arial" w:eastAsia="Malgun Gothic" w:hAnsi="Arial"/>
                      <w:b/>
                      <w:sz w:val="18"/>
                      <w:lang w:eastAsia="en-US"/>
                    </w:rPr>
                    <w:t>SCS(</w:t>
                  </w:r>
                  <w:proofErr w:type="gramEnd"/>
                  <w:r w:rsidRPr="00D26657">
                    <w:rPr>
                      <w:rFonts w:ascii="Arial" w:eastAsia="Malgun Gothic" w:hAnsi="Arial"/>
                      <w:b/>
                      <w:sz w:val="18"/>
                      <w:lang w:eastAsia="en-US"/>
                    </w:rPr>
                    <w:t>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BE06F3" w:rsidRPr="00D26657" w:rsidTr="004477F8">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6F3" w:rsidRPr="00D26657" w:rsidRDefault="00BE06F3" w:rsidP="00BE06F3">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BE06F3" w:rsidRPr="00D26657" w:rsidTr="004477F8">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BE06F3" w:rsidRPr="00D26657" w:rsidTr="004477F8">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BE06F3" w:rsidRPr="00D26657" w:rsidTr="004477F8">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BE06F3" w:rsidRPr="00D26657" w:rsidTr="004477F8">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5</w:t>
                  </w:r>
                </w:p>
              </w:tc>
              <w:tc>
                <w:tcPr>
                  <w:tcW w:w="1623" w:type="dxa"/>
                  <w:tcBorders>
                    <w:top w:val="single" w:sz="4" w:space="0" w:color="auto"/>
                    <w:left w:val="single" w:sz="4" w:space="0" w:color="auto"/>
                    <w:bottom w:val="single" w:sz="4" w:space="0" w:color="auto"/>
                    <w:right w:val="single" w:sz="4" w:space="0" w:color="auto"/>
                  </w:tcBorders>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rsidR="00BE06F3" w:rsidRPr="00D26657" w:rsidRDefault="00BE06F3" w:rsidP="00BE06F3">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r>
          </w:tbl>
          <w:p w:rsidR="00BE06F3" w:rsidRDefault="00BE06F3" w:rsidP="006272FF">
            <w:pPr>
              <w:jc w:val="both"/>
              <w:rPr>
                <w:lang w:val="en-US" w:eastAsia="en-US"/>
              </w:rPr>
            </w:pPr>
          </w:p>
        </w:tc>
      </w:tr>
    </w:tbl>
    <w:p w:rsidR="00BE06F3" w:rsidRDefault="00A57F61" w:rsidP="00A57F61">
      <w:pPr>
        <w:spacing w:beforeLines="50" w:before="120"/>
        <w:jc w:val="both"/>
        <w:rPr>
          <w:lang w:val="en-US"/>
        </w:rPr>
      </w:pPr>
      <w:r>
        <w:rPr>
          <w:rFonts w:hint="eastAsia"/>
          <w:lang w:val="en-US"/>
        </w:rPr>
        <w:lastRenderedPageBreak/>
        <w:t>I</w:t>
      </w:r>
      <w:r>
        <w:rPr>
          <w:lang w:val="en-US"/>
        </w:rPr>
        <w:t xml:space="preserve">t is noted that only for synchronized scenario with 1 SRS symbol configured, the applicable interruption length is symbol based, while for other cases, usually some typical cases, the DL interruption length is slots based. </w:t>
      </w:r>
      <w:r w:rsidRPr="007C4934">
        <w:rPr>
          <w:lang w:val="en-US"/>
        </w:rPr>
        <w:t xml:space="preserve">For typical </w:t>
      </w:r>
      <w:r w:rsidR="006F75CC" w:rsidRPr="007C4934">
        <w:rPr>
          <w:lang w:val="en-US"/>
        </w:rPr>
        <w:t>SRS configuration and typical TDD band configurations, the performance loss due to slot-level DL interruption could be too large.</w:t>
      </w:r>
      <w:bookmarkStart w:id="2" w:name="_GoBack"/>
      <w:bookmarkEnd w:id="2"/>
      <w:r w:rsidR="006F75CC">
        <w:rPr>
          <w:lang w:val="en-US"/>
        </w:rPr>
        <w:t xml:space="preserve"> </w:t>
      </w:r>
    </w:p>
    <w:p w:rsidR="006F75CC" w:rsidRDefault="006F75CC" w:rsidP="00A57F61">
      <w:pPr>
        <w:spacing w:beforeLines="50" w:before="120"/>
        <w:jc w:val="both"/>
        <w:rPr>
          <w:lang w:val="en-US"/>
        </w:rPr>
      </w:pPr>
      <w:r>
        <w:rPr>
          <w:rFonts w:hint="eastAsia"/>
          <w:lang w:val="en-US"/>
        </w:rPr>
        <w:t>T</w:t>
      </w:r>
      <w:r>
        <w:rPr>
          <w:lang w:val="en-US"/>
        </w:rPr>
        <w:t xml:space="preserve">he original intention for the clarification is to let the NW be aware the SRS antenna switching impact to the DL band which switched together with the SRS band. Since the switching period is only 15us </w:t>
      </w:r>
      <w:r w:rsidR="001234A2">
        <w:rPr>
          <w:lang w:val="en-US"/>
        </w:rPr>
        <w:t xml:space="preserve">as defined in RAN4 spec, the flexibility should be left to the NW for the scheduling restriction with consideration of the antenna switching period. Thus, we think there is no need to have a close coupling of the scheduling restriction with the RRM DL interruption requirements, or some enhancements of the RRM slot-based DL interruption would be needed. </w:t>
      </w:r>
    </w:p>
    <w:p w:rsidR="001234A2" w:rsidRDefault="005369EE" w:rsidP="006272FF">
      <w:pPr>
        <w:jc w:val="both"/>
        <w:rPr>
          <w:b/>
          <w:i/>
          <w:lang w:val="en-US" w:eastAsia="en-US"/>
        </w:rPr>
      </w:pPr>
      <w:r>
        <w:rPr>
          <w:b/>
          <w:i/>
          <w:lang w:val="en-US" w:eastAsia="en-US"/>
        </w:rPr>
        <w:t>Observation 1:</w:t>
      </w:r>
      <w:r w:rsidR="001234A2">
        <w:rPr>
          <w:b/>
          <w:i/>
          <w:lang w:val="en-US" w:eastAsia="en-US"/>
        </w:rPr>
        <w:t xml:space="preserve"> For some typical SRS configurations, the DL interruption requirements due to SRS antenna switching in the RRM spec are slot based, which could have larger performance loss for </w:t>
      </w:r>
      <w:r w:rsidR="00D812D3">
        <w:rPr>
          <w:b/>
          <w:i/>
          <w:lang w:val="en-US" w:eastAsia="en-US"/>
        </w:rPr>
        <w:t>a</w:t>
      </w:r>
      <w:r w:rsidR="001234A2">
        <w:rPr>
          <w:b/>
          <w:i/>
          <w:lang w:val="en-US" w:eastAsia="en-US"/>
        </w:rPr>
        <w:t xml:space="preserve"> long interruption than the real antenna switching period.</w:t>
      </w:r>
    </w:p>
    <w:p w:rsidR="00167F84" w:rsidRPr="005369EE" w:rsidRDefault="00167F84" w:rsidP="006272FF">
      <w:pPr>
        <w:jc w:val="both"/>
        <w:rPr>
          <w:b/>
          <w:i/>
          <w:lang w:val="en-US" w:eastAsia="en-US"/>
        </w:rPr>
      </w:pPr>
      <w:r w:rsidRPr="005369EE">
        <w:rPr>
          <w:b/>
          <w:i/>
          <w:lang w:val="en-US" w:eastAsia="en-US"/>
        </w:rPr>
        <w:t>Proposal 1:</w:t>
      </w:r>
      <w:r w:rsidR="001234A2">
        <w:rPr>
          <w:b/>
          <w:i/>
          <w:lang w:val="en-US" w:eastAsia="en-US"/>
        </w:rPr>
        <w:t xml:space="preserve"> </w:t>
      </w:r>
      <w:r w:rsidR="001234A2">
        <w:rPr>
          <w:b/>
          <w:i/>
          <w:lang w:val="en-US"/>
        </w:rPr>
        <w:t xml:space="preserve">It is proposed to send </w:t>
      </w:r>
      <w:proofErr w:type="gramStart"/>
      <w:r w:rsidR="001234A2">
        <w:rPr>
          <w:b/>
          <w:i/>
          <w:lang w:val="en-US"/>
        </w:rPr>
        <w:t>an</w:t>
      </w:r>
      <w:proofErr w:type="gramEnd"/>
      <w:r w:rsidR="001234A2">
        <w:rPr>
          <w:b/>
          <w:i/>
          <w:lang w:val="en-US"/>
        </w:rPr>
        <w:t xml:space="preserve"> LS to RAN1 </w:t>
      </w:r>
      <w:r w:rsidR="003D65CE">
        <w:rPr>
          <w:b/>
          <w:i/>
          <w:lang w:val="en-US"/>
        </w:rPr>
        <w:t xml:space="preserve">for further clarification of the </w:t>
      </w:r>
      <w:r w:rsidR="003D65CE" w:rsidRPr="003D65CE">
        <w:rPr>
          <w:b/>
          <w:i/>
          <w:lang w:val="en-US"/>
        </w:rPr>
        <w:t>impact of SRS antenna switching for TDD-FDD band combinations</w:t>
      </w:r>
      <w:r w:rsidR="003D65CE">
        <w:rPr>
          <w:b/>
          <w:i/>
          <w:lang w:val="en-US"/>
        </w:rPr>
        <w:t xml:space="preserve">, and not </w:t>
      </w:r>
      <w:r w:rsidR="0008529C">
        <w:rPr>
          <w:b/>
          <w:i/>
          <w:lang w:val="en-US"/>
        </w:rPr>
        <w:t xml:space="preserve">to </w:t>
      </w:r>
      <w:r w:rsidR="003D65CE">
        <w:rPr>
          <w:b/>
          <w:i/>
          <w:lang w:val="en-US"/>
        </w:rPr>
        <w:t>couple closely of the scheduling restriction for the switching period together with the RRM DL interruption requirements.</w:t>
      </w:r>
    </w:p>
    <w:p w:rsidR="00A33E8E" w:rsidRDefault="00A33E8E" w:rsidP="006272FF">
      <w:pPr>
        <w:pStyle w:val="Heading1"/>
        <w:spacing w:after="240"/>
        <w:jc w:val="both"/>
        <w:rPr>
          <w:rFonts w:eastAsia="宋体"/>
          <w:lang w:eastAsia="zh-CN"/>
        </w:rPr>
      </w:pPr>
      <w:r>
        <w:rPr>
          <w:rFonts w:eastAsia="宋体" w:hint="eastAsia"/>
          <w:lang w:eastAsia="zh-CN"/>
        </w:rPr>
        <w:t>Conclusion</w:t>
      </w:r>
    </w:p>
    <w:p w:rsidR="00FC30F5" w:rsidRDefault="005369EE" w:rsidP="006272FF">
      <w:pPr>
        <w:jc w:val="both"/>
      </w:pPr>
      <w:r>
        <w:t xml:space="preserve">This contribution provides </w:t>
      </w:r>
      <w:r w:rsidR="00D812D3">
        <w:t xml:space="preserve">our consideration for the conclusion of the RAN1 discussion on the </w:t>
      </w:r>
      <w:r w:rsidR="00D812D3" w:rsidRPr="00D812D3">
        <w:t>impact of SRS antenna switching for TDD-FDD band combinations</w:t>
      </w:r>
      <w:r w:rsidR="00D812D3">
        <w:t xml:space="preserve">. </w:t>
      </w:r>
    </w:p>
    <w:p w:rsidR="00D812D3" w:rsidRDefault="00D812D3" w:rsidP="00D812D3">
      <w:pPr>
        <w:jc w:val="both"/>
        <w:rPr>
          <w:b/>
          <w:i/>
          <w:lang w:val="en-US" w:eastAsia="en-US"/>
        </w:rPr>
      </w:pPr>
      <w:r>
        <w:rPr>
          <w:b/>
          <w:i/>
          <w:lang w:val="en-US" w:eastAsia="en-US"/>
        </w:rPr>
        <w:lastRenderedPageBreak/>
        <w:t>Observation 1: For some typical SRS configurations, the DL interruption requirements due to SRS antenna switching in the RRM spec are slot based, which could have larger performance loss for a long interruption than the real antenna switching period.</w:t>
      </w:r>
    </w:p>
    <w:p w:rsidR="00D812D3" w:rsidRPr="005369EE" w:rsidRDefault="00D812D3" w:rsidP="00D812D3">
      <w:pPr>
        <w:jc w:val="both"/>
        <w:rPr>
          <w:b/>
          <w:i/>
          <w:lang w:val="en-US"/>
        </w:rPr>
      </w:pPr>
      <w:r w:rsidRPr="005369EE">
        <w:rPr>
          <w:b/>
          <w:i/>
          <w:lang w:val="en-US" w:eastAsia="en-US"/>
        </w:rPr>
        <w:t>Proposal 1:</w:t>
      </w:r>
      <w:r>
        <w:rPr>
          <w:b/>
          <w:i/>
          <w:lang w:val="en-US" w:eastAsia="en-US"/>
        </w:rPr>
        <w:t xml:space="preserve"> </w:t>
      </w:r>
      <w:r>
        <w:rPr>
          <w:b/>
          <w:i/>
          <w:lang w:val="en-US"/>
        </w:rPr>
        <w:t xml:space="preserve">It is proposed to send </w:t>
      </w:r>
      <w:proofErr w:type="gramStart"/>
      <w:r>
        <w:rPr>
          <w:b/>
          <w:i/>
          <w:lang w:val="en-US"/>
        </w:rPr>
        <w:t>an</w:t>
      </w:r>
      <w:proofErr w:type="gramEnd"/>
      <w:r>
        <w:rPr>
          <w:b/>
          <w:i/>
          <w:lang w:val="en-US"/>
        </w:rPr>
        <w:t xml:space="preserve"> LS to RAN1 for further clarification of the </w:t>
      </w:r>
      <w:r w:rsidRPr="003D65CE">
        <w:rPr>
          <w:b/>
          <w:i/>
          <w:lang w:val="en-US"/>
        </w:rPr>
        <w:t>impact of SRS antenna switching for TDD-FDD band combinations</w:t>
      </w:r>
      <w:r>
        <w:rPr>
          <w:b/>
          <w:i/>
          <w:lang w:val="en-US"/>
        </w:rPr>
        <w:t>, and not</w:t>
      </w:r>
      <w:r w:rsidR="0008529C">
        <w:rPr>
          <w:b/>
          <w:i/>
          <w:lang w:val="en-US"/>
        </w:rPr>
        <w:t xml:space="preserve"> to</w:t>
      </w:r>
      <w:r>
        <w:rPr>
          <w:b/>
          <w:i/>
          <w:lang w:val="en-US"/>
        </w:rPr>
        <w:t xml:space="preserve"> couple closely of the scheduling restriction for the switching period together with the RRM DL interruption requirements.</w:t>
      </w:r>
    </w:p>
    <w:p w:rsidR="00B22DA6" w:rsidRDefault="00B22DA6" w:rsidP="006272FF">
      <w:pPr>
        <w:pStyle w:val="Heading1"/>
        <w:numPr>
          <w:ilvl w:val="0"/>
          <w:numId w:val="0"/>
        </w:numPr>
        <w:jc w:val="both"/>
        <w:rPr>
          <w:rFonts w:eastAsia="宋体"/>
          <w:lang w:eastAsia="zh-CN"/>
        </w:rPr>
      </w:pPr>
      <w:r>
        <w:t>References</w:t>
      </w:r>
    </w:p>
    <w:p w:rsidR="00C53757" w:rsidRDefault="0035262B" w:rsidP="006272FF">
      <w:pPr>
        <w:jc w:val="both"/>
        <w:rPr>
          <w:lang w:eastAsia="ja-JP"/>
        </w:rPr>
      </w:pPr>
      <w:r>
        <w:rPr>
          <w:rFonts w:hint="eastAsia"/>
        </w:rPr>
        <w:t>[1]</w:t>
      </w:r>
      <w:r w:rsidR="005369EE">
        <w:t xml:space="preserve"> </w:t>
      </w:r>
      <w:r w:rsidR="001765E9" w:rsidRPr="001765E9">
        <w:rPr>
          <w:lang w:eastAsia="ja-JP"/>
        </w:rPr>
        <w:t>R4-2302376</w:t>
      </w:r>
      <w:r w:rsidR="001765E9">
        <w:rPr>
          <w:lang w:eastAsia="ja-JP"/>
        </w:rPr>
        <w:t>,</w:t>
      </w:r>
      <w:r w:rsidR="001765E9" w:rsidRPr="001765E9">
        <w:rPr>
          <w:lang w:eastAsia="ja-JP"/>
        </w:rPr>
        <w:t xml:space="preserve"> Clarification on impact of SRS antenna switching for TDD-FDD band combinations</w:t>
      </w:r>
      <w:r w:rsidR="001765E9">
        <w:rPr>
          <w:lang w:eastAsia="ja-JP"/>
        </w:rPr>
        <w:t>, Huawei, HiSilicon</w:t>
      </w:r>
    </w:p>
    <w:p w:rsidR="00453891" w:rsidRDefault="00453891" w:rsidP="006272FF">
      <w:pPr>
        <w:jc w:val="both"/>
      </w:pPr>
      <w:r>
        <w:rPr>
          <w:rFonts w:eastAsia="MS Mincho"/>
          <w:lang w:eastAsia="ja-JP"/>
        </w:rPr>
        <w:t xml:space="preserve">[2] </w:t>
      </w:r>
      <w:hyperlink r:id="rId8" w:history="1">
        <w:r w:rsidR="00E82175" w:rsidRPr="00E93B7C">
          <w:t>R4-2303633</w:t>
        </w:r>
      </w:hyperlink>
      <w:r w:rsidR="00E82175">
        <w:t xml:space="preserve">, </w:t>
      </w:r>
      <w:r w:rsidR="00E82175" w:rsidRPr="00E82175">
        <w:t>draft LS on clarification on impact of SRS antenna switching for TDD-FDD band combinations</w:t>
      </w:r>
      <w:r w:rsidR="00E82175">
        <w:t>, Huawei, HiSilicon</w:t>
      </w:r>
    </w:p>
    <w:p w:rsidR="00355387" w:rsidRDefault="00541C14" w:rsidP="006272FF">
      <w:pPr>
        <w:jc w:val="both"/>
        <w:rPr>
          <w:rFonts w:eastAsiaTheme="minorEastAsia"/>
        </w:rPr>
      </w:pPr>
      <w:r>
        <w:rPr>
          <w:rFonts w:eastAsiaTheme="minorEastAsia" w:hint="eastAsia"/>
        </w:rPr>
        <w:t>[</w:t>
      </w:r>
      <w:r>
        <w:rPr>
          <w:rFonts w:eastAsiaTheme="minorEastAsia"/>
        </w:rPr>
        <w:t xml:space="preserve">3] </w:t>
      </w:r>
      <w:r w:rsidRPr="00541C14">
        <w:rPr>
          <w:rFonts w:eastAsiaTheme="minorEastAsia"/>
        </w:rPr>
        <w:t>R1-2304245</w:t>
      </w:r>
      <w:r>
        <w:rPr>
          <w:rFonts w:eastAsiaTheme="minorEastAsia"/>
        </w:rPr>
        <w:t xml:space="preserve">, </w:t>
      </w:r>
      <w:r w:rsidRPr="00541C14">
        <w:rPr>
          <w:rFonts w:eastAsiaTheme="minorEastAsia"/>
        </w:rPr>
        <w:t>Summary on impact of SRS antenna switching for TDD-FDD band combinations</w:t>
      </w:r>
      <w:r w:rsidR="005565DC">
        <w:rPr>
          <w:rFonts w:eastAsiaTheme="minorEastAsia"/>
        </w:rPr>
        <w:t xml:space="preserve">, </w:t>
      </w:r>
      <w:r w:rsidR="005565DC" w:rsidRPr="005565DC">
        <w:rPr>
          <w:rFonts w:eastAsiaTheme="minorEastAsia"/>
        </w:rPr>
        <w:t>Moderator (Huawei)</w:t>
      </w:r>
    </w:p>
    <w:p w:rsidR="00BC516A" w:rsidRDefault="00BC516A" w:rsidP="006272FF">
      <w:pPr>
        <w:jc w:val="both"/>
        <w:rPr>
          <w:rFonts w:eastAsiaTheme="minorEastAsia"/>
        </w:rPr>
      </w:pPr>
    </w:p>
    <w:p w:rsidR="00EF2E02" w:rsidRDefault="00EF2E02" w:rsidP="00EF2E02">
      <w:pPr>
        <w:pStyle w:val="Heading1"/>
        <w:numPr>
          <w:ilvl w:val="0"/>
          <w:numId w:val="0"/>
        </w:numPr>
        <w:jc w:val="both"/>
        <w:rPr>
          <w:rFonts w:eastAsia="宋体"/>
          <w:lang w:eastAsia="zh-CN"/>
        </w:rPr>
      </w:pPr>
      <w:r>
        <w:t xml:space="preserve">Annex </w:t>
      </w:r>
      <w:r w:rsidRPr="005E32C2">
        <w:t>(draft LS to RAN</w:t>
      </w:r>
      <w:r>
        <w:t>1</w:t>
      </w:r>
      <w:r w:rsidRPr="005E32C2">
        <w:t>)</w:t>
      </w:r>
    </w:p>
    <w:p w:rsidR="00EF2E02" w:rsidRPr="00DC0C95" w:rsidRDefault="00EF2E02" w:rsidP="00EF2E02">
      <w:pPr>
        <w:spacing w:after="60"/>
        <w:ind w:left="1985" w:hanging="1985"/>
        <w:rPr>
          <w:rFonts w:ascii="Arial" w:hAnsi="Arial" w:cs="Arial"/>
        </w:rPr>
      </w:pPr>
      <w:r>
        <w:rPr>
          <w:rFonts w:ascii="Arial" w:hAnsi="Arial" w:cs="Arial"/>
          <w:b/>
        </w:rPr>
        <w:t>Title:</w:t>
      </w:r>
      <w:r>
        <w:rPr>
          <w:rFonts w:ascii="Arial" w:hAnsi="Arial" w:cs="Arial"/>
          <w:b/>
        </w:rPr>
        <w:tab/>
      </w:r>
      <w:r w:rsidRPr="00EF2E02">
        <w:rPr>
          <w:rFonts w:ascii="Arial" w:hAnsi="Arial" w:cs="Arial"/>
        </w:rPr>
        <w:t>LS on further clarification for SRS antenna swi</w:t>
      </w:r>
      <w:r>
        <w:rPr>
          <w:rFonts w:ascii="Arial" w:hAnsi="Arial" w:cs="Arial"/>
        </w:rPr>
        <w:t>t</w:t>
      </w:r>
      <w:r w:rsidRPr="00EF2E02">
        <w:rPr>
          <w:rFonts w:ascii="Arial" w:hAnsi="Arial" w:cs="Arial"/>
        </w:rPr>
        <w:t>ching</w:t>
      </w:r>
    </w:p>
    <w:p w:rsidR="00EF2E02" w:rsidRDefault="00EF2E02" w:rsidP="00EF2E02">
      <w:pPr>
        <w:spacing w:after="60"/>
        <w:ind w:left="1985" w:hanging="1985"/>
        <w:rPr>
          <w:rFonts w:ascii="Arial" w:hAnsi="Arial" w:cs="Arial"/>
          <w:bCs/>
        </w:rPr>
      </w:pPr>
      <w:r>
        <w:rPr>
          <w:rFonts w:ascii="Arial" w:hAnsi="Arial" w:cs="Arial"/>
          <w:b/>
        </w:rPr>
        <w:t>Response to:</w:t>
      </w:r>
      <w:r>
        <w:rPr>
          <w:rFonts w:ascii="Arial" w:hAnsi="Arial" w:cs="Arial"/>
          <w:bCs/>
        </w:rPr>
        <w:tab/>
      </w:r>
    </w:p>
    <w:p w:rsidR="00EF2E02" w:rsidRDefault="00EF2E02" w:rsidP="00EF2E0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Pr>
          <w:rFonts w:ascii="Arial" w:hAnsi="Arial" w:cs="Arial"/>
          <w:bCs/>
        </w:rPr>
        <w:t>5</w:t>
      </w:r>
    </w:p>
    <w:p w:rsidR="00EF2E02" w:rsidRDefault="00EF2E02" w:rsidP="00EF2E02">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Pr="004B50CB">
        <w:rPr>
          <w:rFonts w:ascii="Arial" w:hAnsi="Arial" w:cs="Arial"/>
          <w:bCs/>
          <w:lang w:val="en-US"/>
        </w:rPr>
        <w:t>NR_newRAT</w:t>
      </w:r>
      <w:proofErr w:type="spellEnd"/>
      <w:r w:rsidRPr="004B50CB">
        <w:rPr>
          <w:rFonts w:ascii="Arial" w:hAnsi="Arial" w:cs="Arial"/>
          <w:bCs/>
          <w:lang w:val="en-US"/>
        </w:rPr>
        <w:t>-Core</w:t>
      </w:r>
    </w:p>
    <w:p w:rsidR="00EF2E02" w:rsidRDefault="00EF2E02" w:rsidP="00EF2E02">
      <w:pPr>
        <w:spacing w:after="60"/>
        <w:ind w:left="1985" w:hanging="1985"/>
        <w:rPr>
          <w:rFonts w:ascii="Arial" w:hAnsi="Arial" w:cs="Arial"/>
          <w:b/>
        </w:rPr>
      </w:pPr>
    </w:p>
    <w:p w:rsidR="00EF2E02" w:rsidRDefault="00EF2E02" w:rsidP="00EF2E0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rsidR="00EF2E02" w:rsidRDefault="00EF2E02" w:rsidP="00EF2E02">
      <w:pPr>
        <w:spacing w:after="60"/>
        <w:ind w:left="1985" w:hanging="1985"/>
        <w:rPr>
          <w:rFonts w:ascii="Arial" w:hAnsi="Arial" w:cs="Arial"/>
          <w:bCs/>
        </w:rPr>
      </w:pPr>
      <w:r>
        <w:rPr>
          <w:rFonts w:ascii="Arial" w:hAnsi="Arial" w:cs="Arial"/>
          <w:b/>
        </w:rPr>
        <w:t>To:</w:t>
      </w:r>
      <w:r>
        <w:rPr>
          <w:rFonts w:ascii="Arial" w:hAnsi="Arial" w:cs="Arial"/>
          <w:bCs/>
        </w:rPr>
        <w:tab/>
        <w:t>RAN1</w:t>
      </w:r>
    </w:p>
    <w:p w:rsidR="00EF2E02" w:rsidRDefault="00EF2E02" w:rsidP="00EF2E02">
      <w:pPr>
        <w:spacing w:after="60"/>
        <w:ind w:left="1985" w:hanging="1985"/>
        <w:rPr>
          <w:rFonts w:ascii="Arial" w:hAnsi="Arial" w:cs="Arial"/>
          <w:bCs/>
        </w:rPr>
      </w:pPr>
      <w:r>
        <w:rPr>
          <w:rFonts w:ascii="Arial" w:hAnsi="Arial" w:cs="Arial"/>
          <w:b/>
        </w:rPr>
        <w:t>Cc:</w:t>
      </w:r>
      <w:r>
        <w:rPr>
          <w:rFonts w:ascii="Arial" w:hAnsi="Arial" w:cs="Arial"/>
          <w:bCs/>
        </w:rPr>
        <w:tab/>
        <w:t>RAN2</w:t>
      </w:r>
    </w:p>
    <w:p w:rsidR="00EF2E02" w:rsidRPr="00296941" w:rsidRDefault="00EF2E02" w:rsidP="00EF2E02">
      <w:pPr>
        <w:spacing w:after="60"/>
        <w:ind w:left="1985" w:hanging="1985"/>
        <w:rPr>
          <w:rFonts w:ascii="Arial" w:hAnsi="Arial" w:cs="Arial"/>
          <w:bCs/>
        </w:rPr>
      </w:pPr>
    </w:p>
    <w:p w:rsidR="00EF2E02" w:rsidRPr="000F4E43" w:rsidRDefault="00EF2E02" w:rsidP="00EF2E02">
      <w:pPr>
        <w:spacing w:after="0"/>
        <w:rPr>
          <w:rFonts w:ascii="Arial" w:hAnsi="Arial" w:cs="Arial"/>
          <w:bCs/>
        </w:rPr>
      </w:pPr>
      <w:r w:rsidRPr="000F4E43">
        <w:rPr>
          <w:rFonts w:ascii="Arial" w:hAnsi="Arial" w:cs="Arial"/>
          <w:b/>
        </w:rPr>
        <w:t>Contact Person:</w:t>
      </w:r>
      <w:r>
        <w:rPr>
          <w:rFonts w:ascii="Arial" w:hAnsi="Arial" w:cs="Arial"/>
          <w:bCs/>
        </w:rPr>
        <w:tab/>
      </w:r>
      <w:r>
        <w:rPr>
          <w:rFonts w:ascii="Arial" w:hAnsi="Arial" w:cs="Arial"/>
          <w:bCs/>
        </w:rPr>
        <w:tab/>
      </w:r>
    </w:p>
    <w:p w:rsidR="00EF2E02" w:rsidRPr="00913263" w:rsidRDefault="00EF2E02" w:rsidP="00EF2E02">
      <w:pPr>
        <w:spacing w:after="60"/>
        <w:ind w:left="2553" w:hanging="565"/>
        <w:rPr>
          <w:rFonts w:ascii="Arial" w:hAnsi="Arial" w:cs="Arial"/>
          <w:b/>
        </w:rPr>
      </w:pPr>
      <w:r w:rsidRPr="00913263">
        <w:rPr>
          <w:rFonts w:ascii="Arial" w:hAnsi="Arial" w:cs="Arial"/>
          <w:b/>
        </w:rPr>
        <w:t xml:space="preserve">Name: </w:t>
      </w:r>
      <w:r>
        <w:rPr>
          <w:rFonts w:ascii="Arial" w:hAnsi="Arial" w:cs="Arial"/>
          <w:b/>
        </w:rPr>
        <w:tab/>
      </w:r>
    </w:p>
    <w:p w:rsidR="00EF2E02" w:rsidRPr="00913263" w:rsidRDefault="00EF2E02" w:rsidP="00EF2E02">
      <w:pPr>
        <w:spacing w:after="60"/>
        <w:ind w:left="2553" w:hanging="565"/>
        <w:rPr>
          <w:rFonts w:ascii="Arial" w:hAnsi="Arial" w:cs="Arial"/>
          <w:color w:val="0000FF"/>
        </w:rPr>
      </w:pPr>
      <w:r w:rsidRPr="00913263">
        <w:rPr>
          <w:rFonts w:ascii="Arial" w:hAnsi="Arial" w:cs="Arial"/>
          <w:b/>
          <w:color w:val="0000FF"/>
        </w:rPr>
        <w:t xml:space="preserve">E-mail Address: </w:t>
      </w:r>
      <w:r>
        <w:rPr>
          <w:rFonts w:ascii="Arial" w:hAnsi="Arial" w:cs="Arial"/>
          <w:b/>
          <w:color w:val="0000FF"/>
        </w:rPr>
        <w:tab/>
      </w:r>
    </w:p>
    <w:p w:rsidR="00EF2E02" w:rsidRDefault="00EF2E02" w:rsidP="00EF2E02">
      <w:pPr>
        <w:spacing w:after="60"/>
        <w:ind w:left="1985" w:hanging="1985"/>
        <w:rPr>
          <w:rFonts w:ascii="Arial" w:hAnsi="Arial" w:cs="Arial"/>
          <w:b/>
        </w:rPr>
      </w:pPr>
    </w:p>
    <w:p w:rsidR="00EF2E02" w:rsidRPr="000F4E43" w:rsidRDefault="00EF2E02" w:rsidP="00EF2E02">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9" w:history="1">
        <w:r>
          <w:rPr>
            <w:rStyle w:val="Hyperlink"/>
            <w:rFonts w:ascii="Arial" w:hAnsi="Arial" w:cs="Arial"/>
            <w:b/>
          </w:rPr>
          <w:t>mailto:3GPPLiaison@etsi.org</w:t>
        </w:r>
      </w:hyperlink>
    </w:p>
    <w:p w:rsidR="00EF2E02" w:rsidRDefault="00EF2E02" w:rsidP="00EF2E02">
      <w:pPr>
        <w:pStyle w:val="LGTdoc"/>
        <w:spacing w:afterLines="0"/>
        <w:rPr>
          <w:rFonts w:ascii="Arial" w:hAnsi="Arial" w:cs="Arial"/>
          <w:b/>
        </w:rPr>
      </w:pPr>
    </w:p>
    <w:p w:rsidR="00EF2E02" w:rsidRDefault="00EF2E02" w:rsidP="00EF2E02">
      <w:pPr>
        <w:pStyle w:val="LGTdoc"/>
        <w:spacing w:afterLines="0"/>
        <w:rPr>
          <w:rFonts w:ascii="Arial" w:hAnsi="Arial" w:cs="Arial"/>
          <w:sz w:val="21"/>
        </w:rPr>
      </w:pPr>
      <w:r w:rsidRPr="00DC72D3">
        <w:rPr>
          <w:rFonts w:ascii="Arial" w:hAnsi="Arial" w:cs="Arial"/>
          <w:b/>
          <w:sz w:val="21"/>
        </w:rPr>
        <w:t>Attachments</w:t>
      </w:r>
      <w:r w:rsidRPr="00DC72D3">
        <w:rPr>
          <w:rFonts w:ascii="Arial" w:hAnsi="Arial" w:cs="Arial"/>
          <w:sz w:val="21"/>
        </w:rPr>
        <w:t>:</w:t>
      </w:r>
      <w:r w:rsidRPr="00DC72D3">
        <w:rPr>
          <w:rFonts w:ascii="Arial" w:hAnsi="Arial" w:cs="Arial"/>
          <w:sz w:val="21"/>
        </w:rPr>
        <w:tab/>
        <w:t>N/A</w:t>
      </w:r>
    </w:p>
    <w:p w:rsidR="00EF2E02" w:rsidRPr="000F4E43" w:rsidRDefault="00EF2E02" w:rsidP="00EF2E02">
      <w:pPr>
        <w:pBdr>
          <w:bottom w:val="single" w:sz="4" w:space="1" w:color="auto"/>
        </w:pBdr>
        <w:rPr>
          <w:rFonts w:ascii="Arial" w:hAnsi="Arial" w:cs="Arial"/>
        </w:rPr>
      </w:pPr>
    </w:p>
    <w:p w:rsidR="00EF2E02" w:rsidRPr="000F4E43" w:rsidRDefault="00EF2E02" w:rsidP="00EF2E02">
      <w:pPr>
        <w:spacing w:afterLines="50" w:after="120"/>
        <w:rPr>
          <w:rFonts w:ascii="Arial" w:hAnsi="Arial" w:cs="Arial"/>
          <w:b/>
        </w:rPr>
      </w:pPr>
      <w:r w:rsidRPr="000F4E43">
        <w:rPr>
          <w:rFonts w:ascii="Arial" w:hAnsi="Arial" w:cs="Arial"/>
          <w:b/>
        </w:rPr>
        <w:t>1. Overall Description:</w:t>
      </w:r>
    </w:p>
    <w:p w:rsidR="00EF2E02" w:rsidRPr="0096793E" w:rsidRDefault="00EF2E02" w:rsidP="00EF2E02">
      <w:pPr>
        <w:pStyle w:val="Header"/>
        <w:jc w:val="both"/>
        <w:rPr>
          <w:rFonts w:cs="Arial"/>
        </w:rPr>
      </w:pPr>
    </w:p>
    <w:p w:rsidR="00EF2E02" w:rsidRDefault="00EF2E02" w:rsidP="00A06327">
      <w:pPr>
        <w:pStyle w:val="Header"/>
        <w:rPr>
          <w:rFonts w:eastAsia="宋体" w:cs="Arial"/>
          <w:b w:val="0"/>
          <w:noProof w:val="0"/>
          <w:sz w:val="20"/>
          <w:lang w:eastAsia="zh-CN"/>
        </w:rPr>
      </w:pPr>
      <w:r>
        <w:rPr>
          <w:rFonts w:eastAsia="宋体" w:cs="Arial"/>
          <w:b w:val="0"/>
          <w:noProof w:val="0"/>
          <w:sz w:val="20"/>
          <w:lang w:eastAsia="zh-CN"/>
        </w:rPr>
        <w:t xml:space="preserve">Clarification </w:t>
      </w:r>
      <w:r w:rsidRPr="00EF2E02">
        <w:rPr>
          <w:rFonts w:eastAsia="宋体" w:cs="Arial"/>
          <w:b w:val="0"/>
          <w:noProof w:val="0"/>
          <w:sz w:val="20"/>
          <w:lang w:eastAsia="zh-CN"/>
        </w:rPr>
        <w:t>on impact of SRS antenna switching for TDD-FDD band combinations</w:t>
      </w:r>
      <w:r>
        <w:rPr>
          <w:rFonts w:eastAsia="宋体" w:cs="Arial"/>
          <w:b w:val="0"/>
          <w:noProof w:val="0"/>
          <w:sz w:val="20"/>
          <w:lang w:eastAsia="zh-CN"/>
        </w:rPr>
        <w:t xml:space="preserve"> was triggered by RAN4 LS </w:t>
      </w:r>
      <w:r w:rsidRPr="00EF2E02">
        <w:rPr>
          <w:rFonts w:eastAsia="宋体" w:cs="Arial"/>
          <w:b w:val="0"/>
          <w:noProof w:val="0"/>
          <w:sz w:val="20"/>
          <w:lang w:eastAsia="zh-CN"/>
        </w:rPr>
        <w:t>R4-2303633</w:t>
      </w:r>
      <w:r>
        <w:rPr>
          <w:rFonts w:eastAsia="宋体" w:cs="Arial"/>
          <w:b w:val="0"/>
          <w:noProof w:val="0"/>
          <w:sz w:val="20"/>
          <w:lang w:eastAsia="zh-CN"/>
        </w:rPr>
        <w:t xml:space="preserve">. RAN4 respectfully thanks the corresponding discussion and progress made in RAN1. </w:t>
      </w:r>
    </w:p>
    <w:p w:rsidR="00EF2E02" w:rsidRDefault="00EF2E02" w:rsidP="00A06327">
      <w:pPr>
        <w:pStyle w:val="Header"/>
        <w:rPr>
          <w:rFonts w:eastAsia="宋体" w:cs="Arial"/>
          <w:b w:val="0"/>
          <w:noProof w:val="0"/>
          <w:sz w:val="20"/>
          <w:lang w:eastAsia="zh-CN"/>
        </w:rPr>
      </w:pPr>
    </w:p>
    <w:p w:rsidR="00A06327" w:rsidRDefault="00EF2E02" w:rsidP="00A06327">
      <w:pPr>
        <w:pStyle w:val="Header"/>
        <w:jc w:val="both"/>
        <w:rPr>
          <w:rFonts w:eastAsia="宋体" w:cs="Arial"/>
          <w:b w:val="0"/>
          <w:noProof w:val="0"/>
          <w:sz w:val="20"/>
          <w:lang w:eastAsia="zh-CN"/>
        </w:rPr>
      </w:pPr>
      <w:r>
        <w:rPr>
          <w:rFonts w:eastAsia="宋体" w:cs="Arial" w:hint="eastAsia"/>
          <w:b w:val="0"/>
          <w:noProof w:val="0"/>
          <w:sz w:val="20"/>
          <w:lang w:eastAsia="zh-CN"/>
        </w:rPr>
        <w:t>R</w:t>
      </w:r>
      <w:r>
        <w:rPr>
          <w:rFonts w:eastAsia="宋体" w:cs="Arial"/>
          <w:b w:val="0"/>
          <w:noProof w:val="0"/>
          <w:sz w:val="20"/>
          <w:lang w:eastAsia="zh-CN"/>
        </w:rPr>
        <w:t xml:space="preserve">AN4 noticed that RAN1 made conclusion that </w:t>
      </w:r>
      <w:r w:rsidRPr="00EF2E02">
        <w:rPr>
          <w:rFonts w:eastAsia="宋体" w:cs="Arial"/>
          <w:b w:val="0"/>
          <w:noProof w:val="0"/>
          <w:sz w:val="20"/>
          <w:lang w:eastAsia="zh-CN"/>
        </w:rPr>
        <w:t xml:space="preserve">UE follows requirements specified in </w:t>
      </w:r>
      <w:r w:rsidR="00A06327">
        <w:rPr>
          <w:rFonts w:eastAsia="宋体" w:cs="Arial"/>
          <w:b w:val="0"/>
          <w:noProof w:val="0"/>
          <w:sz w:val="20"/>
          <w:lang w:eastAsia="zh-CN"/>
        </w:rPr>
        <w:t xml:space="preserve">TS </w:t>
      </w:r>
      <w:r w:rsidRPr="00EF2E02">
        <w:rPr>
          <w:rFonts w:eastAsia="宋体" w:cs="Arial"/>
          <w:b w:val="0"/>
          <w:noProof w:val="0"/>
          <w:sz w:val="20"/>
          <w:lang w:eastAsia="zh-CN"/>
        </w:rPr>
        <w:t xml:space="preserve">38.133 for DL receiving on bands reported by </w:t>
      </w:r>
      <w:proofErr w:type="spellStart"/>
      <w:r w:rsidRPr="00FD0404">
        <w:rPr>
          <w:rFonts w:eastAsia="宋体" w:cs="Arial"/>
          <w:b w:val="0"/>
          <w:i/>
          <w:noProof w:val="0"/>
          <w:sz w:val="20"/>
          <w:lang w:eastAsia="zh-CN"/>
        </w:rPr>
        <w:t>txSwitchImpactToRx</w:t>
      </w:r>
      <w:proofErr w:type="spellEnd"/>
      <w:r w:rsidRPr="00EF2E02">
        <w:rPr>
          <w:rFonts w:eastAsia="宋体" w:cs="Arial"/>
          <w:b w:val="0"/>
          <w:noProof w:val="0"/>
          <w:sz w:val="20"/>
          <w:lang w:eastAsia="zh-CN"/>
        </w:rPr>
        <w:t>.</w:t>
      </w:r>
      <w:r w:rsidR="00FD0404">
        <w:rPr>
          <w:rFonts w:eastAsia="宋体" w:cs="Arial"/>
          <w:b w:val="0"/>
          <w:noProof w:val="0"/>
          <w:sz w:val="20"/>
          <w:lang w:eastAsia="zh-CN"/>
        </w:rPr>
        <w:t xml:space="preserve"> However, the RRM requirements </w:t>
      </w:r>
      <w:r w:rsidR="00D8742E">
        <w:rPr>
          <w:rFonts w:eastAsia="宋体" w:cs="Arial"/>
          <w:b w:val="0"/>
          <w:noProof w:val="0"/>
          <w:sz w:val="20"/>
          <w:lang w:eastAsia="zh-CN"/>
        </w:rPr>
        <w:t>are defined with some simplified assumptions, by which the slot</w:t>
      </w:r>
      <w:r w:rsidR="00A06327">
        <w:rPr>
          <w:rFonts w:eastAsia="宋体" w:cs="Arial"/>
          <w:b w:val="0"/>
          <w:noProof w:val="0"/>
          <w:sz w:val="20"/>
          <w:lang w:eastAsia="zh-CN"/>
        </w:rPr>
        <w:t>-</w:t>
      </w:r>
      <w:r w:rsidR="00D8742E">
        <w:rPr>
          <w:rFonts w:eastAsia="宋体" w:cs="Arial"/>
          <w:b w:val="0"/>
          <w:noProof w:val="0"/>
          <w:sz w:val="20"/>
          <w:lang w:eastAsia="zh-CN"/>
        </w:rPr>
        <w:t xml:space="preserve">based DL interruption </w:t>
      </w:r>
      <w:r w:rsidR="00A06327">
        <w:rPr>
          <w:rFonts w:eastAsia="宋体" w:cs="Arial"/>
          <w:b w:val="0"/>
          <w:noProof w:val="0"/>
          <w:sz w:val="20"/>
          <w:lang w:eastAsia="zh-CN"/>
        </w:rPr>
        <w:t xml:space="preserve">length </w:t>
      </w:r>
      <w:r w:rsidR="00D8742E">
        <w:rPr>
          <w:rFonts w:eastAsia="宋体" w:cs="Arial"/>
          <w:b w:val="0"/>
          <w:noProof w:val="0"/>
          <w:sz w:val="20"/>
          <w:lang w:eastAsia="zh-CN"/>
        </w:rPr>
        <w:t xml:space="preserve">could be too large </w:t>
      </w:r>
      <w:r w:rsidR="00A06327">
        <w:rPr>
          <w:rFonts w:eastAsia="宋体" w:cs="Arial"/>
          <w:b w:val="0"/>
          <w:noProof w:val="0"/>
          <w:sz w:val="20"/>
          <w:lang w:eastAsia="zh-CN"/>
        </w:rPr>
        <w:t>for</w:t>
      </w:r>
      <w:r w:rsidR="00D8742E">
        <w:rPr>
          <w:rFonts w:eastAsia="宋体" w:cs="Arial"/>
          <w:b w:val="0"/>
          <w:noProof w:val="0"/>
          <w:sz w:val="20"/>
          <w:lang w:eastAsia="zh-CN"/>
        </w:rPr>
        <w:t xml:space="preserve"> some cases</w:t>
      </w:r>
      <w:r w:rsidR="00CA48C1">
        <w:rPr>
          <w:rFonts w:eastAsia="宋体" w:cs="Arial"/>
          <w:b w:val="0"/>
          <w:noProof w:val="0"/>
          <w:sz w:val="20"/>
          <w:lang w:eastAsia="zh-CN"/>
        </w:rPr>
        <w:t xml:space="preserve"> with typical SRS configurations, e.g. more than 2 SRS symbols configured</w:t>
      </w:r>
      <w:r w:rsidR="00D8742E">
        <w:rPr>
          <w:rFonts w:eastAsia="宋体" w:cs="Arial"/>
          <w:b w:val="0"/>
          <w:noProof w:val="0"/>
          <w:sz w:val="20"/>
          <w:lang w:eastAsia="zh-CN"/>
        </w:rPr>
        <w:t xml:space="preserve">. </w:t>
      </w:r>
    </w:p>
    <w:p w:rsidR="00A06327" w:rsidRDefault="00A06327" w:rsidP="00A06327">
      <w:pPr>
        <w:pStyle w:val="Header"/>
        <w:rPr>
          <w:rFonts w:eastAsia="宋体" w:cs="Arial"/>
          <w:b w:val="0"/>
          <w:noProof w:val="0"/>
          <w:sz w:val="20"/>
          <w:lang w:eastAsia="zh-CN"/>
        </w:rPr>
      </w:pPr>
    </w:p>
    <w:p w:rsidR="00EF2E02" w:rsidRDefault="00D8742E" w:rsidP="00A06327">
      <w:pPr>
        <w:pStyle w:val="Header"/>
        <w:jc w:val="both"/>
        <w:rPr>
          <w:rFonts w:eastAsia="宋体" w:cs="Arial"/>
          <w:b w:val="0"/>
          <w:noProof w:val="0"/>
          <w:sz w:val="20"/>
          <w:lang w:eastAsia="zh-CN"/>
        </w:rPr>
      </w:pPr>
      <w:r>
        <w:rPr>
          <w:rFonts w:eastAsia="宋体" w:cs="Arial"/>
          <w:b w:val="0"/>
          <w:noProof w:val="0"/>
          <w:sz w:val="20"/>
          <w:lang w:eastAsia="zh-CN"/>
        </w:rPr>
        <w:t xml:space="preserve">Therefore, RAN4 thinks that for the better performance and flexibility of the NW scheduling, </w:t>
      </w:r>
      <w:r w:rsidR="00A06327">
        <w:rPr>
          <w:rFonts w:eastAsia="宋体" w:cs="Arial"/>
          <w:b w:val="0"/>
          <w:noProof w:val="0"/>
          <w:sz w:val="20"/>
          <w:lang w:eastAsia="zh-CN"/>
        </w:rPr>
        <w:t>there is no need to limit the scheduling restriction to follow the DL interruption requirements in TS 38.133 specification, especially for the slot-based i</w:t>
      </w:r>
      <w:r w:rsidR="00A06327" w:rsidRPr="00A06327">
        <w:rPr>
          <w:rFonts w:eastAsia="宋体" w:cs="Arial"/>
          <w:b w:val="0"/>
          <w:noProof w:val="0"/>
          <w:sz w:val="20"/>
          <w:lang w:eastAsia="zh-CN"/>
        </w:rPr>
        <w:t>nterruption length</w:t>
      </w:r>
      <w:r w:rsidR="00A06327">
        <w:rPr>
          <w:rFonts w:eastAsia="宋体" w:cs="Arial"/>
          <w:b w:val="0"/>
          <w:noProof w:val="0"/>
          <w:sz w:val="20"/>
          <w:lang w:eastAsia="zh-CN"/>
        </w:rPr>
        <w:t xml:space="preserve">. </w:t>
      </w:r>
    </w:p>
    <w:p w:rsidR="00EF2E02" w:rsidRDefault="00EF2E02" w:rsidP="00EF2E02">
      <w:pPr>
        <w:pStyle w:val="Header"/>
        <w:rPr>
          <w:rFonts w:eastAsiaTheme="minorEastAsia" w:cs="Arial"/>
          <w:lang w:eastAsia="zh-CN"/>
        </w:rPr>
      </w:pPr>
    </w:p>
    <w:p w:rsidR="00EF2E02" w:rsidRPr="00EF2E02" w:rsidRDefault="00EF2E02" w:rsidP="00EF2E02">
      <w:pPr>
        <w:pStyle w:val="Header"/>
        <w:rPr>
          <w:rFonts w:eastAsiaTheme="minorEastAsia" w:cs="Arial"/>
          <w:lang w:eastAsia="zh-CN"/>
        </w:rPr>
      </w:pPr>
    </w:p>
    <w:p w:rsidR="00EF2E02" w:rsidRPr="000F4E43" w:rsidRDefault="00EF2E02" w:rsidP="00EF2E02">
      <w:pPr>
        <w:spacing w:after="120"/>
        <w:rPr>
          <w:rFonts w:ascii="Arial" w:hAnsi="Arial" w:cs="Arial"/>
          <w:b/>
        </w:rPr>
      </w:pPr>
      <w:r w:rsidRPr="000F4E43">
        <w:rPr>
          <w:rFonts w:ascii="Arial" w:hAnsi="Arial" w:cs="Arial"/>
          <w:b/>
        </w:rPr>
        <w:t>2. Actions:</w:t>
      </w:r>
    </w:p>
    <w:p w:rsidR="00EF2E02" w:rsidRPr="000F4E43" w:rsidRDefault="00EF2E02" w:rsidP="00EF2E02">
      <w:pPr>
        <w:spacing w:after="120"/>
        <w:ind w:left="1985" w:hanging="1985"/>
        <w:rPr>
          <w:rFonts w:ascii="Arial" w:hAnsi="Arial" w:cs="Arial"/>
          <w:b/>
        </w:rPr>
      </w:pPr>
      <w:r w:rsidRPr="000F4E43">
        <w:rPr>
          <w:rFonts w:ascii="Arial" w:hAnsi="Arial" w:cs="Arial"/>
          <w:b/>
        </w:rPr>
        <w:lastRenderedPageBreak/>
        <w:t xml:space="preserve">To </w:t>
      </w:r>
      <w:r>
        <w:rPr>
          <w:rFonts w:ascii="Arial" w:hAnsi="Arial" w:cs="Arial"/>
          <w:b/>
        </w:rPr>
        <w:t>RAN1:</w:t>
      </w:r>
    </w:p>
    <w:p w:rsidR="00EF2E02" w:rsidRPr="00C024F9" w:rsidRDefault="00EF2E02" w:rsidP="00EF2E02">
      <w:pPr>
        <w:spacing w:after="120"/>
        <w:jc w:val="both"/>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RAN1 to take the above discussion and agreement in RAN4 </w:t>
      </w:r>
      <w:r w:rsidR="00DA377F">
        <w:rPr>
          <w:rFonts w:ascii="Arial" w:hAnsi="Arial" w:cs="Arial"/>
        </w:rPr>
        <w:t>for further consideration</w:t>
      </w:r>
      <w:r>
        <w:rPr>
          <w:rFonts w:ascii="Arial" w:hAnsi="Arial" w:cs="Arial"/>
        </w:rPr>
        <w:t>.</w:t>
      </w:r>
    </w:p>
    <w:p w:rsidR="00EF2E02" w:rsidRPr="00D73DE6" w:rsidRDefault="00EF2E02" w:rsidP="00EF2E02">
      <w:pPr>
        <w:spacing w:after="120"/>
        <w:ind w:left="993" w:hanging="993"/>
        <w:rPr>
          <w:rFonts w:ascii="Arial" w:hAnsi="Arial" w:cs="Arial"/>
        </w:rPr>
      </w:pPr>
    </w:p>
    <w:p w:rsidR="00EF2E02" w:rsidRPr="000F4E43" w:rsidRDefault="00EF2E02" w:rsidP="00EF2E0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rsidR="00EF2E02" w:rsidRPr="00D73DE6" w:rsidRDefault="00EF2E02" w:rsidP="00EF2E02">
      <w:pPr>
        <w:pStyle w:val="LGTdoc"/>
        <w:spacing w:afterLines="0"/>
        <w:rPr>
          <w:rFonts w:ascii="Arial" w:eastAsia="宋体" w:hAnsi="Arial" w:cs="Arial"/>
          <w:bCs/>
          <w:sz w:val="21"/>
        </w:rPr>
      </w:pPr>
      <w:r w:rsidRPr="00D73DE6">
        <w:rPr>
          <w:rFonts w:ascii="Arial" w:eastAsia="宋体" w:hAnsi="Arial" w:cs="Arial"/>
          <w:bCs/>
          <w:sz w:val="21"/>
        </w:rPr>
        <w:t>TSG-RAN</w:t>
      </w:r>
      <w:r>
        <w:rPr>
          <w:rFonts w:ascii="Arial" w:eastAsia="宋体" w:hAnsi="Arial" w:cs="Arial"/>
          <w:bCs/>
          <w:sz w:val="21"/>
        </w:rPr>
        <w:t>4</w:t>
      </w:r>
      <w:r w:rsidRPr="00D73DE6">
        <w:rPr>
          <w:rFonts w:ascii="Arial" w:eastAsia="宋体" w:hAnsi="Arial" w:cs="Arial"/>
          <w:bCs/>
          <w:sz w:val="21"/>
        </w:rPr>
        <w:t xml:space="preserve"> Meeting#</w:t>
      </w:r>
      <w:r>
        <w:rPr>
          <w:rFonts w:ascii="Arial" w:eastAsia="宋体" w:hAnsi="Arial" w:cs="Arial"/>
          <w:bCs/>
          <w:sz w:val="21"/>
        </w:rPr>
        <w:t>108-bis</w:t>
      </w:r>
      <w:r>
        <w:rPr>
          <w:rFonts w:ascii="Arial" w:eastAsia="宋体" w:hAnsi="Arial" w:cs="Arial"/>
          <w:bCs/>
          <w:sz w:val="21"/>
        </w:rPr>
        <w:tab/>
      </w:r>
      <w:r>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Pr>
          <w:rFonts w:ascii="Arial" w:eastAsia="宋体" w:hAnsi="Arial" w:cs="Arial"/>
          <w:bCs/>
          <w:sz w:val="21"/>
        </w:rPr>
        <w:t>09</w:t>
      </w:r>
      <w:r w:rsidRPr="00D73DE6">
        <w:rPr>
          <w:rFonts w:ascii="Arial" w:eastAsia="宋体" w:hAnsi="Arial" w:cs="Arial"/>
          <w:bCs/>
          <w:sz w:val="21"/>
          <w:vertAlign w:val="superscript"/>
        </w:rPr>
        <w:t>th</w:t>
      </w:r>
      <w:r w:rsidRPr="00D73DE6">
        <w:rPr>
          <w:rFonts w:ascii="Arial" w:eastAsia="宋体" w:hAnsi="Arial" w:cs="Arial"/>
          <w:bCs/>
          <w:sz w:val="21"/>
        </w:rPr>
        <w:t xml:space="preserve"> – </w:t>
      </w:r>
      <w:r>
        <w:rPr>
          <w:rFonts w:ascii="Arial" w:eastAsia="宋体" w:hAnsi="Arial" w:cs="Arial"/>
          <w:bCs/>
          <w:sz w:val="21"/>
        </w:rPr>
        <w:t>13</w:t>
      </w:r>
      <w:r w:rsidRPr="00D73DE6">
        <w:rPr>
          <w:rFonts w:ascii="Arial" w:eastAsia="宋体" w:hAnsi="Arial" w:cs="Arial"/>
          <w:bCs/>
          <w:sz w:val="21"/>
          <w:vertAlign w:val="superscript"/>
        </w:rPr>
        <w:t>th</w:t>
      </w:r>
      <w:r w:rsidRPr="00D73DE6">
        <w:rPr>
          <w:rFonts w:ascii="Arial" w:eastAsia="宋体" w:hAnsi="Arial" w:cs="Arial"/>
          <w:bCs/>
          <w:sz w:val="21"/>
        </w:rPr>
        <w:t xml:space="preserve"> </w:t>
      </w:r>
      <w:r>
        <w:rPr>
          <w:rFonts w:ascii="Arial" w:eastAsia="宋体" w:hAnsi="Arial" w:cs="Arial"/>
          <w:bCs/>
          <w:sz w:val="21"/>
        </w:rPr>
        <w:t>Sept</w:t>
      </w:r>
      <w:r w:rsidRPr="00D73DE6">
        <w:rPr>
          <w:rFonts w:ascii="Arial" w:eastAsia="宋体" w:hAnsi="Arial" w:cs="Arial"/>
          <w:bCs/>
          <w:sz w:val="21"/>
        </w:rPr>
        <w:t xml:space="preserve"> 202</w:t>
      </w:r>
      <w:r>
        <w:rPr>
          <w:rFonts w:ascii="Arial" w:eastAsia="宋体" w:hAnsi="Arial" w:cs="Arial"/>
          <w:bCs/>
          <w:sz w:val="21"/>
        </w:rPr>
        <w:t>3</w:t>
      </w:r>
      <w:r>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Pr>
          <w:rFonts w:ascii="Arial" w:eastAsia="宋体" w:hAnsi="Arial" w:cs="Arial"/>
          <w:bCs/>
          <w:sz w:val="21"/>
        </w:rPr>
        <w:t>Xiamen, CN</w:t>
      </w:r>
    </w:p>
    <w:p w:rsidR="00EF2E02" w:rsidRPr="004F335D" w:rsidRDefault="00EF2E02" w:rsidP="00EF2E02">
      <w:pPr>
        <w:pStyle w:val="LGTdoc"/>
        <w:spacing w:afterLines="0"/>
        <w:rPr>
          <w:rFonts w:ascii="Arial" w:hAnsi="Arial" w:cs="Arial"/>
          <w:sz w:val="20"/>
        </w:rPr>
      </w:pPr>
      <w:r w:rsidRPr="00D73DE6">
        <w:rPr>
          <w:rFonts w:ascii="Arial" w:eastAsia="宋体" w:hAnsi="Arial" w:cs="Arial"/>
          <w:bCs/>
          <w:sz w:val="21"/>
        </w:rPr>
        <w:t>TSG-RAN</w:t>
      </w:r>
      <w:r>
        <w:rPr>
          <w:rFonts w:ascii="Arial" w:eastAsia="宋体" w:hAnsi="Arial" w:cs="Arial"/>
          <w:bCs/>
          <w:sz w:val="21"/>
        </w:rPr>
        <w:t>4</w:t>
      </w:r>
      <w:r w:rsidRPr="00D73DE6">
        <w:rPr>
          <w:rFonts w:ascii="Arial" w:eastAsia="宋体" w:hAnsi="Arial" w:cs="Arial"/>
          <w:bCs/>
          <w:sz w:val="21"/>
        </w:rPr>
        <w:t xml:space="preserve"> Meeting#</w:t>
      </w:r>
      <w:r>
        <w:rPr>
          <w:rFonts w:ascii="Arial" w:eastAsia="宋体" w:hAnsi="Arial" w:cs="Arial"/>
          <w:bCs/>
          <w:sz w:val="21"/>
        </w:rPr>
        <w:t xml:space="preserve">109 </w:t>
      </w:r>
      <w:r w:rsidRPr="00D73DE6">
        <w:rPr>
          <w:rFonts w:ascii="Arial" w:eastAsia="宋体" w:hAnsi="Arial" w:cs="Arial"/>
          <w:bCs/>
          <w:sz w:val="21"/>
        </w:rPr>
        <w:tab/>
        <w:t xml:space="preserve"> </w:t>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Pr>
          <w:rFonts w:ascii="Arial" w:eastAsia="宋体" w:hAnsi="Arial" w:cs="Arial"/>
          <w:bCs/>
          <w:sz w:val="21"/>
        </w:rPr>
        <w:t>13</w:t>
      </w:r>
      <w:r>
        <w:rPr>
          <w:rFonts w:ascii="Arial" w:eastAsia="宋体" w:hAnsi="Arial" w:cs="Arial"/>
          <w:bCs/>
          <w:sz w:val="21"/>
          <w:vertAlign w:val="superscript"/>
        </w:rPr>
        <w:t>th</w:t>
      </w:r>
      <w:r w:rsidRPr="00D73DE6">
        <w:rPr>
          <w:rFonts w:ascii="Arial" w:eastAsia="宋体" w:hAnsi="Arial" w:cs="Arial"/>
          <w:bCs/>
          <w:sz w:val="21"/>
        </w:rPr>
        <w:t xml:space="preserve"> – </w:t>
      </w:r>
      <w:r>
        <w:rPr>
          <w:rFonts w:ascii="Arial" w:eastAsia="宋体" w:hAnsi="Arial" w:cs="Arial"/>
          <w:bCs/>
          <w:sz w:val="21"/>
        </w:rPr>
        <w:t>17</w:t>
      </w:r>
      <w:r w:rsidRPr="00D73DE6">
        <w:rPr>
          <w:rFonts w:ascii="Arial" w:eastAsia="宋体" w:hAnsi="Arial" w:cs="Arial"/>
          <w:bCs/>
          <w:sz w:val="21"/>
          <w:vertAlign w:val="superscript"/>
        </w:rPr>
        <w:t>th</w:t>
      </w:r>
      <w:r>
        <w:rPr>
          <w:rFonts w:ascii="Arial" w:eastAsia="宋体" w:hAnsi="Arial" w:cs="Arial"/>
          <w:bCs/>
          <w:sz w:val="21"/>
        </w:rPr>
        <w:t xml:space="preserve"> Nov</w:t>
      </w:r>
      <w:r w:rsidRPr="00D73DE6">
        <w:rPr>
          <w:rFonts w:ascii="Arial" w:eastAsia="宋体" w:hAnsi="Arial" w:cs="Arial"/>
          <w:bCs/>
          <w:sz w:val="21"/>
        </w:rPr>
        <w:t xml:space="preserve"> 202</w:t>
      </w:r>
      <w:r>
        <w:rPr>
          <w:rFonts w:ascii="Arial" w:eastAsia="宋体" w:hAnsi="Arial" w:cs="Arial"/>
          <w:bCs/>
          <w:sz w:val="21"/>
        </w:rPr>
        <w:t>3</w:t>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Pr>
          <w:rFonts w:ascii="Arial" w:eastAsia="宋体" w:hAnsi="Arial" w:cs="Arial"/>
          <w:bCs/>
          <w:sz w:val="21"/>
        </w:rPr>
        <w:tab/>
      </w:r>
      <w:r>
        <w:rPr>
          <w:rFonts w:ascii="Arial" w:eastAsia="宋体" w:hAnsi="Arial" w:cs="Arial"/>
          <w:bCs/>
          <w:sz w:val="21"/>
        </w:rPr>
        <w:tab/>
        <w:t>Chicago, USA</w:t>
      </w:r>
    </w:p>
    <w:p w:rsidR="00BC516A" w:rsidRPr="00EF2E02" w:rsidRDefault="00BC516A" w:rsidP="006272FF">
      <w:pPr>
        <w:jc w:val="both"/>
        <w:rPr>
          <w:rFonts w:eastAsiaTheme="minorEastAsia"/>
        </w:rPr>
      </w:pPr>
    </w:p>
    <w:sectPr w:rsidR="00BC516A" w:rsidRPr="00EF2E02"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6996" w:rsidRDefault="00FD6996" w:rsidP="0052762B">
      <w:r>
        <w:separator/>
      </w:r>
    </w:p>
  </w:endnote>
  <w:endnote w:type="continuationSeparator" w:id="0">
    <w:p w:rsidR="00FD6996" w:rsidRDefault="00FD699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6996" w:rsidRDefault="00FD6996" w:rsidP="0052762B">
      <w:r>
        <w:separator/>
      </w:r>
    </w:p>
  </w:footnote>
  <w:footnote w:type="continuationSeparator" w:id="0">
    <w:p w:rsidR="00FD6996" w:rsidRDefault="00FD6996"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5"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8"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40"/>
  </w:num>
  <w:num w:numId="5">
    <w:abstractNumId w:val="1"/>
  </w:num>
  <w:num w:numId="6">
    <w:abstractNumId w:val="39"/>
  </w:num>
  <w:num w:numId="7">
    <w:abstractNumId w:val="17"/>
  </w:num>
  <w:num w:numId="8">
    <w:abstractNumId w:val="30"/>
  </w:num>
  <w:num w:numId="9">
    <w:abstractNumId w:val="43"/>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3"/>
  </w:num>
  <w:num w:numId="24">
    <w:abstractNumId w:val="38"/>
  </w:num>
  <w:num w:numId="25">
    <w:abstractNumId w:val="8"/>
  </w:num>
  <w:num w:numId="26">
    <w:abstractNumId w:val="37"/>
  </w:num>
  <w:num w:numId="27">
    <w:abstractNumId w:val="35"/>
  </w:num>
  <w:num w:numId="28">
    <w:abstractNumId w:val="18"/>
  </w:num>
  <w:num w:numId="29">
    <w:abstractNumId w:val="42"/>
  </w:num>
  <w:num w:numId="30">
    <w:abstractNumId w:val="28"/>
  </w:num>
  <w:num w:numId="31">
    <w:abstractNumId w:val="16"/>
  </w:num>
  <w:num w:numId="32">
    <w:abstractNumId w:val="32"/>
  </w:num>
  <w:num w:numId="33">
    <w:abstractNumId w:val="6"/>
  </w:num>
  <w:num w:numId="34">
    <w:abstractNumId w:val="9"/>
  </w:num>
  <w:num w:numId="35">
    <w:abstractNumId w:val="33"/>
  </w:num>
  <w:num w:numId="36">
    <w:abstractNumId w:val="19"/>
  </w:num>
  <w:num w:numId="37">
    <w:abstractNumId w:val="7"/>
  </w:num>
  <w:num w:numId="38">
    <w:abstractNumId w:val="29"/>
  </w:num>
  <w:num w:numId="39">
    <w:abstractNumId w:val="3"/>
  </w:num>
  <w:num w:numId="40">
    <w:abstractNumId w:val="25"/>
  </w:num>
  <w:num w:numId="41">
    <w:abstractNumId w:val="15"/>
  </w:num>
  <w:num w:numId="42">
    <w:abstractNumId w:val="13"/>
  </w:num>
  <w:num w:numId="43">
    <w:abstractNumId w:val="21"/>
  </w:num>
  <w:num w:numId="44">
    <w:abstractNumId w:val="34"/>
  </w:num>
  <w:num w:numId="45">
    <w:abstractNumId w:val="31"/>
  </w:num>
  <w:num w:numId="46">
    <w:abstractNumId w:val="36"/>
  </w:num>
  <w:num w:numId="47">
    <w:abstractNumId w:val="4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29C"/>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4A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5E9"/>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3CC9"/>
    <w:rsid w:val="003340DC"/>
    <w:rsid w:val="003343B0"/>
    <w:rsid w:val="003348A3"/>
    <w:rsid w:val="0033529C"/>
    <w:rsid w:val="00335F81"/>
    <w:rsid w:val="0033686C"/>
    <w:rsid w:val="00336F59"/>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5CE"/>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891"/>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14"/>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5DC"/>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1A40"/>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6F75C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4934"/>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327"/>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57F61"/>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254"/>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16A"/>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6F3"/>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8C1"/>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0E"/>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2D3"/>
    <w:rsid w:val="00D8131C"/>
    <w:rsid w:val="00D819A9"/>
    <w:rsid w:val="00D81BFB"/>
    <w:rsid w:val="00D8230F"/>
    <w:rsid w:val="00D839F0"/>
    <w:rsid w:val="00D83D14"/>
    <w:rsid w:val="00D84F5D"/>
    <w:rsid w:val="00D85402"/>
    <w:rsid w:val="00D8692C"/>
    <w:rsid w:val="00D86C34"/>
    <w:rsid w:val="00D86C6C"/>
    <w:rsid w:val="00D8742E"/>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77F"/>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1EB3"/>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75"/>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6F92"/>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04A"/>
    <w:rsid w:val="00EE57BF"/>
    <w:rsid w:val="00EE716D"/>
    <w:rsid w:val="00EE7666"/>
    <w:rsid w:val="00EF017A"/>
    <w:rsid w:val="00EF0454"/>
    <w:rsid w:val="00EF16AF"/>
    <w:rsid w:val="00EF20F9"/>
    <w:rsid w:val="00EF2999"/>
    <w:rsid w:val="00EF2B02"/>
    <w:rsid w:val="00EF2E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404"/>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9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74964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23106\Docs\R4-230237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818C2-BE08-4FEE-BA91-EBB443E01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276</TotalTime>
  <Pages>4</Pages>
  <Words>1206</Words>
  <Characters>6880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8070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12</cp:revision>
  <cp:lastPrinted>2010-01-07T02:23:00Z</cp:lastPrinted>
  <dcterms:created xsi:type="dcterms:W3CDTF">2023-08-11T01:56:00Z</dcterms:created>
  <dcterms:modified xsi:type="dcterms:W3CDTF">2023-08-11T13:28:00Z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(3)8x8YtFE2lJH1LPOxYmTa7oIeHoxANKD4dza37957Jnjuiv/mvmxeA2Np0/T/Gj9dZ3RQSyxf
momOEmMZBv1eLfkt68LV7TSP1qhR9xPOTVa3yYi+GZsscPv8/BGY/00Vb5o3J9oy67TZAfTl
jV7O3RVH1F90Q3oN8SGPoUuefDqVqlFoZA8dp03YsaYXWxARRo0rwQ5w798p/yRPp7+YYTJf
9grMwlG9B6SOxNEyQR</vt:lpwstr>
  </property>
  <property fmtid="{D5CDD505-2E9C-101B-9397-08002B2CF9AE}" pid="15" name="_2015_ms_pID_725343_00">
    <vt:lpwstr>_2015_ms_pID_725343</vt:lpwstr>
  </property>
  <property fmtid="{D5CDD505-2E9C-101B-9397-08002B2CF9AE}" pid="16" name="_2015_ms_pID_7253431">
    <vt:lpwstr>zMXEyjp6isnRgyvW1AB/IEDwKQ8ssWoKz16v+HUfklsXULhxM2D92q
LBzxis+n/rCsm+gjjiO48X37gCoUYwTCgZBIv18xZikt1Or1XlIOfS3cLv59GJjhDdzzsg2P
z/PAhsljQF+RsGR8hqggX6heDasdLo4T0PQlz1YBbtnAUSHMg/wSyNnY0vtr4o3/N48fqbdo
iPZH0hrEOVo6iOtFdUT84/XQCivtv01LyR9B</vt:lpwstr>
  </property>
  <property fmtid="{D5CDD505-2E9C-101B-9397-08002B2CF9AE}" pid="17" name="_2015_ms_pID_7253431_00">
    <vt:lpwstr>_2015_ms_pID_7253431</vt:lpwstr>
  </property>
  <property fmtid="{D5CDD505-2E9C-101B-9397-08002B2CF9AE}" pid="18" name="_2015_ms_pID_7253432">
    <vt:lpwstr>zqzytaABRxHD80u8UGih4dg=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